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ПРОТОКОЛ вскрытия конвертов с заявками на участие в конкурсе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Мы, члены конкурсной комиссии по проведению открытого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 отбору  управляющей организации для управления многоквартирными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домами,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№1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 2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дома № 6,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 3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п. Колодезный, микрорайон, дома № 2,3,4,6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Председатель комиссии: Костина Валентина Сергеевна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Заместитель председателя комиссии:  Ашуркин Сергей Евгеньевич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Члены комиссии: Русинович Татьяна Васильевна,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Позднякова Людмила Павловна,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Переверзева Татьяна Александровна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претенденты на вскрытии конвертов не присутствовали,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составили   настоящий   протокол   о   том, что на момент вскрытия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конвертов  с  заявками  на  участие в конкурсе: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1</w:t>
      </w: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2:  была подана одна заявка от следующей организации: ООО ПКФ «Вис» на 21 странице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По Лоту № 2 отбор управляющей организации для управления многоквартирными домами по адресу: РХ, Ширинский район, пгт. Жемчужный, ул. Комлева, дома № 6, 8:  была подана одна заявка от следующей организации: ООО ПКФ «Вис» на 21 странице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3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отбор управляющей организации для управления многоквартирными домами по адресу: РХ, Ширинский район, п. Колодезный, микрорайон, дома № 2,3,4,6: </w:t>
      </w:r>
      <w:r>
        <w:rPr>
          <w:rFonts w:ascii="times new roman&amp;quot;"/>
          <w:color w:val="000000"/>
          <w:sz w:val="26"/>
          <w:rtl w:val="off"/>
          <w:lang w:val="en-US"/>
        </w:rPr>
        <w:t>была подана одна заявка от следующей организации: ООО ПКФ «Вис» на 21 странице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Конкурсная комиссия установила, что заявки  по трем  лотам поданы от следующих организаций: ООО ПКФ «Вис»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Конкурсная комиссия приняла решение: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65" w:right="0" w:hanging="405"/>
        <w:jc w:val="both"/>
        <w:rPr>
          <w:rFonts w:ascii="Segoe UI"/>
          <w:color w:val="000000"/>
          <w:sz w:val="18"/>
          <w:lang w:val="en-US"/>
        </w:rPr>
      </w:pPr>
      <w:r>
        <w:rPr>
          <w:rFonts w:ascii="courier new"/>
          <w:color w:val="000000"/>
          <w:sz w:val="22"/>
          <w:rtl w:val="off"/>
          <w:lang w:val="en-US"/>
        </w:rPr>
        <w:t>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</w:t>
      </w:r>
      <w:r>
        <w:rPr>
          <w:rFonts w:ascii="times new roman&amp;quot;"/>
          <w:color w:val="000000"/>
          <w:sz w:val="26"/>
          <w:rtl w:val="off"/>
          <w:lang w:val="en-US"/>
        </w:rPr>
        <w:t>Принять к рассмотрению три заявки, по одной по каждому лоту соответственно.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Настоящий протокол составлен в двух экземплярах на 2 (двух) листах.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</w:t>
      </w:r>
    </w:p>
    <w:tbl>
      <w:tblPr>
        <w:bidiVisual w:val="off"/>
        <w:tblW w:w="0" w:type="auto"/>
        <w:jc w:val="lef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195"/>
        <w:gridCol w:w="3195"/>
        <w:gridCol w:w="3195"/>
      </w:tblGrid>
      <w:tr>
        <w:trPr>
          <w:wBefore w:w="0" w:type="dxa"/>
          <w:jc w:val="left"/>
        </w:trPr>
        <w:tc>
          <w:tcPr>
            <w:cnfStyle w:val="1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Председатель комиссии:</w:t>
            </w:r>
          </w:p>
        </w:tc>
        <w:tc>
          <w:tcPr>
            <w:cnfStyle w:val="100001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Костина В.С</w:t>
            </w:r>
          </w:p>
        </w:tc>
        <w:tc>
          <w:tcPr>
            <w:cnfStyle w:val="1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______________________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Заместитель председателя:</w:t>
            </w:r>
          </w:p>
        </w:tc>
        <w:tc>
          <w:tcPr>
            <w:cnfStyle w:val="000001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Ашуркин С.Е.</w:t>
            </w:r>
          </w:p>
        </w:tc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______________________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Члены комиссии:  </w:t>
            </w:r>
          </w:p>
        </w:tc>
        <w:tc>
          <w:tcPr>
            <w:cnfStyle w:val="000001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Русинович Т.В.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Позднякова Л.П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Переверзева Т.А.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_______________________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"28" января  2013 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