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2018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05.03.2019 № 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6"/>
          <w:rtl w:val="off"/>
          <w:lang w:val="en-US"/>
        </w:rPr>
        <w:t xml:space="preserve">от   05.03.2019г.                      п. Жемчужный           № 4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 за 2018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Рассмотрев   информацию   об   исполнении  бюджета  муниципального  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Жемчужненский сельсовет  за  2018 год,  представленную  Администрацией  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сельсовет за   2018 год  по доходам в сумме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10294,2 </w:t>
      </w:r>
      <w:r>
        <w:rPr>
          <w:rFonts w:ascii="tahoma"/>
          <w:color w:val="000000"/>
          <w:sz w:val="20"/>
          <w:rtl w:val="off"/>
          <w:lang w:val="en-US"/>
        </w:rPr>
        <w:t xml:space="preserve">тыс.рублей, по расходам 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8 873,3 </w:t>
      </w:r>
      <w:r>
        <w:rPr>
          <w:rFonts w:ascii="tahoma"/>
          <w:color w:val="000000"/>
          <w:sz w:val="20"/>
          <w:rtl w:val="off"/>
          <w:lang w:val="en-US"/>
        </w:rPr>
        <w:t xml:space="preserve">тыс. рублей с превышением доходов над расходами (профицит бюджета)  в сумме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1420,9 </w:t>
      </w:r>
      <w:r>
        <w:rPr>
          <w:rFonts w:ascii="tahoma"/>
          <w:color w:val="000000"/>
          <w:sz w:val="20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 Утвердить отчет об исполнение местного бюджета за 2018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1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2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3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4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5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6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