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2017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24.04.2018 № 07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</w:t>
      </w:r>
      <w:r>
        <w:rPr>
          <w:rFonts w:ascii="tahoma"/>
          <w:i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  24.04. 2018 г.                                    п. Жемчужный                                                   № 07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 за 2017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Рассмотрев    информацию    об  исполнении   бюджета 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Жемчужненский сельсовет за 2017 год, представленную Администрацией  Жемчужненского сельсовета, руководствуясь статьями 9, 264.5, 264.6 Бюджетного кодекса Российской Федерации, пунктом 2 части 10 статьи 35 Федерального закона "Об общих принципах организации местного самоуправления в Российской Федерации" и статьей 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Утвердить отчет об исполнении бюджета муниципального образования Жемчужненский сельсовет за   2017 год  по доходам в сумме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8 850,3 </w:t>
      </w:r>
      <w:r>
        <w:rPr>
          <w:rFonts w:ascii="tahoma"/>
          <w:color w:val="000000"/>
          <w:sz w:val="20"/>
          <w:rtl w:val="off"/>
          <w:lang w:val="en-US"/>
        </w:rPr>
        <w:t xml:space="preserve">тыс.рублей, по расходам 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10 012,0 </w:t>
      </w:r>
      <w:r>
        <w:rPr>
          <w:rFonts w:ascii="tahoma"/>
          <w:color w:val="000000"/>
          <w:sz w:val="20"/>
          <w:rtl w:val="off"/>
          <w:lang w:val="en-US"/>
        </w:rPr>
        <w:t xml:space="preserve">тыс. рублей с превышением расходов над доходами (дефицит бюджета)  в сумме </w:t>
      </w:r>
      <w:r>
        <w:rPr>
          <w:rFonts w:ascii="tahoma"/>
          <w:b/>
          <w:color w:val="000000"/>
          <w:sz w:val="20"/>
          <w:rtl w:val="off"/>
          <w:lang w:val="en-US"/>
        </w:rPr>
        <w:t xml:space="preserve">1161,7 </w:t>
      </w:r>
      <w:r>
        <w:rPr>
          <w:rFonts w:ascii="tahoma"/>
          <w:color w:val="000000"/>
          <w:sz w:val="20"/>
          <w:rtl w:val="off"/>
          <w:lang w:val="en-US"/>
        </w:rPr>
        <w:t>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2. Утвердить отчет об исполнение местного бюджета за 2017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  по доходам бюджета по кодам классификации видов, подвидов, классификации  операций сектора государственного управления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1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по  расходам бюджета по разделам, подразделам, целевым статьям и видам функциональной классификации расходов бюджетов Российской Федерации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2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 по расходам бюджета по ведомственной структуре расходов местного бюджета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3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по источникам финансирования дефицита местного бюджета по кодам классификации групп, подгрупп, статей, видов источников финансирования дефицита  бюджета классификации  операций сектора государственного управления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4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 исполнении муниципальных программ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5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 отчет о численности муниципальных служащих с указанием фактических затрат на их денежное содержание согласно приложению </w:t>
      </w:r>
      <w:r>
        <w:rPr>
          <w:rFonts w:ascii="tahoma"/>
          <w:b/>
          <w:color w:val="000000"/>
          <w:sz w:val="20"/>
          <w:rtl w:val="off"/>
          <w:lang w:val="en-US"/>
        </w:rPr>
        <w:t>6</w:t>
      </w:r>
      <w:r>
        <w:rPr>
          <w:rFonts w:ascii="tahoma"/>
          <w:color w:val="000000"/>
          <w:sz w:val="20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