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5D" w:rsidRDefault="0037015D" w:rsidP="0037015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от 31.12.2013 № 109 «Об утверждении Правил внутреннего трудового распорядка для работников администрации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37015D" w:rsidRDefault="0037015D" w:rsidP="0037015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11.11.2019 № 231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37015D" w:rsidTr="0037015D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</w:tblGrid>
            <w:tr w:rsidR="0037015D">
              <w:tc>
                <w:tcPr>
                  <w:tcW w:w="0" w:type="auto"/>
                  <w:hideMark/>
                </w:tcPr>
                <w:p w:rsidR="0037015D" w:rsidRDefault="0037015D">
                  <w:pPr>
                    <w:spacing w:after="225"/>
                    <w:textAlignment w:val="top"/>
                    <w:divId w:val="185681528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37015D" w:rsidRDefault="0037015D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37015D" w:rsidRDefault="0037015D" w:rsidP="0037015D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37015D" w:rsidRDefault="0037015D" w:rsidP="0037015D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37015D" w:rsidRDefault="0037015D" w:rsidP="0037015D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11.11.2019 г.                                  п. Жемчужный                                              №  231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постановление</w:t>
      </w:r>
    </w:p>
    <w:p w:rsidR="0037015D" w:rsidRDefault="0037015D" w:rsidP="0037015D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администрации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31.12.2013  № 109 </w:t>
      </w:r>
      <w:r>
        <w:rPr>
          <w:rStyle w:val="a3"/>
          <w:color w:val="706D6D"/>
        </w:rPr>
        <w:t> «</w:t>
      </w:r>
      <w:r>
        <w:rPr>
          <w:rFonts w:ascii="Tahoma" w:hAnsi="Tahoma" w:cs="Tahoma"/>
          <w:color w:val="706D6D"/>
        </w:rPr>
        <w:t>Об утверждении Правил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внутреннего трудового распорядка  для  работников 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администрации муниципального образования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        </w:t>
      </w:r>
      <w:proofErr w:type="gramStart"/>
      <w:r>
        <w:rPr>
          <w:rFonts w:ascii="Tahoma" w:hAnsi="Tahoma" w:cs="Tahoma"/>
          <w:color w:val="706D6D"/>
        </w:rPr>
        <w:t xml:space="preserve">Во исполнение протеста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30.10.2019 года                                        № 7-4-2019  на постановление </w:t>
      </w:r>
      <w:r>
        <w:rPr>
          <w:rStyle w:val="a3"/>
          <w:color w:val="706D6D"/>
        </w:rPr>
        <w:t> </w:t>
      </w:r>
      <w:r>
        <w:rPr>
          <w:rFonts w:ascii="Tahoma" w:hAnsi="Tahoma" w:cs="Tahoma"/>
          <w:color w:val="706D6D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  от    31.12.2013  № 109 </w:t>
      </w:r>
      <w:r>
        <w:rPr>
          <w:rStyle w:val="a3"/>
          <w:color w:val="706D6D"/>
        </w:rPr>
        <w:t> «</w:t>
      </w:r>
      <w:r>
        <w:rPr>
          <w:rFonts w:ascii="Tahoma" w:hAnsi="Tahoma" w:cs="Tahoma"/>
          <w:color w:val="706D6D"/>
        </w:rPr>
        <w:t xml:space="preserve">Об утверждении Правил внутреннего трудового распорядка  для  работников администрации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   в  соответствии с Трудовым кодексом Российской Федерации, законом Республики Хакасия от 06.07.2007 № 39-ЗРХ «О муниципальной службе в Республике Хакасия» (с изменениями)  </w:t>
      </w:r>
      <w:proofErr w:type="gramEnd"/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1. Пункт 2.2 </w:t>
      </w:r>
      <w:r>
        <w:rPr>
          <w:rFonts w:ascii="Tahoma" w:hAnsi="Tahoma" w:cs="Tahoma"/>
          <w:color w:val="000000"/>
        </w:rPr>
        <w:t>изложить в следующей редакции: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«2.2.  При  заключении  трудового договора лицо, поступающее на работу, предъявляет Работодателю: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  паспорт или иной документ, удостоверяющий личность;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документы воинского учета - для военнообязанных и лиц, подлежащих призыву на военную службу;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>
        <w:rPr>
          <w:rFonts w:ascii="Tahoma" w:hAnsi="Tahoma" w:cs="Tahoma"/>
          <w:color w:val="706D6D"/>
        </w:rPr>
        <w:t xml:space="preserve">, иным федеральным законом не допускаются лица, имеющие или имевшие судимость, подвергающиеся или подвергавшиеся уголовному преследованию; </w:t>
      </w:r>
      <w:proofErr w:type="gramStart"/>
      <w:r>
        <w:rPr>
          <w:rFonts w:ascii="Tahoma" w:hAnsi="Tahoma" w:cs="Tahoma"/>
          <w:color w:val="706D6D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ahoma" w:hAnsi="Tahoma" w:cs="Tahoma"/>
          <w:color w:val="706D6D"/>
        </w:rPr>
        <w:t>психоактивных</w:t>
      </w:r>
      <w:proofErr w:type="spellEnd"/>
      <w:r>
        <w:rPr>
          <w:rFonts w:ascii="Tahoma" w:hAnsi="Tahoma" w:cs="Tahoma"/>
          <w:color w:val="706D6D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>
        <w:rPr>
          <w:rFonts w:ascii="Tahoma" w:hAnsi="Tahoma" w:cs="Tahoma"/>
          <w:color w:val="706D6D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</w:t>
      </w:r>
      <w:r>
        <w:rPr>
          <w:rFonts w:ascii="Tahoma" w:hAnsi="Tahoma" w:cs="Tahoma"/>
          <w:color w:val="706D6D"/>
        </w:rPr>
        <w:lastRenderedPageBreak/>
        <w:t xml:space="preserve">либо новых потенциально опасных </w:t>
      </w:r>
      <w:proofErr w:type="spellStart"/>
      <w:r>
        <w:rPr>
          <w:rFonts w:ascii="Tahoma" w:hAnsi="Tahoma" w:cs="Tahoma"/>
          <w:color w:val="706D6D"/>
        </w:rPr>
        <w:t>психоактивных</w:t>
      </w:r>
      <w:proofErr w:type="spellEnd"/>
      <w:r>
        <w:rPr>
          <w:rFonts w:ascii="Tahoma" w:hAnsi="Tahoma" w:cs="Tahoma"/>
          <w:color w:val="706D6D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 Запрещается требовать от лица, поступающего на работу, документы помимо </w:t>
      </w:r>
      <w:proofErr w:type="gramStart"/>
      <w:r>
        <w:rPr>
          <w:rFonts w:ascii="Tahoma" w:hAnsi="Tahoma" w:cs="Tahoma"/>
          <w:color w:val="706D6D"/>
        </w:rPr>
        <w:t>предусмотренных</w:t>
      </w:r>
      <w:proofErr w:type="gramEnd"/>
      <w:r>
        <w:rPr>
          <w:rFonts w:ascii="Tahoma" w:hAnsi="Tahoma" w:cs="Tahoma"/>
          <w:color w:val="706D6D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 При заключении трудового договора впервые работодателем оформляется трудовая книжка. В случае</w:t>
      </w:r>
      <w:proofErr w:type="gramStart"/>
      <w:r>
        <w:rPr>
          <w:rFonts w:ascii="Tahoma" w:hAnsi="Tahoma" w:cs="Tahoma"/>
          <w:color w:val="706D6D"/>
        </w:rPr>
        <w:t>,</w:t>
      </w:r>
      <w:proofErr w:type="gramEnd"/>
      <w:r>
        <w:rPr>
          <w:rFonts w:ascii="Tahoma" w:hAnsi="Tahoma" w:cs="Tahoma"/>
          <w:color w:val="706D6D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трудовую книжку.    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Прием  на  работу оформляется распоряжением Главы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сельсовета, изданным  на основании заключенного трудового договора. Содержание распоряжения  должно соответствовать условиям трудового договора. Распоряжение о   приеме   на   работу  объявляется  работнику  под  расписку  в трехдневный  срок со дня фактического начала работы. По требованию работника ему может быть выдана копия распоряжения.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Трудовой договор, не оформленный в письменной форме, считается заключенным,  если  работник  приступил  к  работе с </w:t>
      </w:r>
      <w:proofErr w:type="gramStart"/>
      <w:r>
        <w:rPr>
          <w:rFonts w:ascii="Tahoma" w:hAnsi="Tahoma" w:cs="Tahoma"/>
          <w:color w:val="706D6D"/>
        </w:rPr>
        <w:t>ведома</w:t>
      </w:r>
      <w:proofErr w:type="gramEnd"/>
      <w:r>
        <w:rPr>
          <w:rFonts w:ascii="Tahoma" w:hAnsi="Tahoma" w:cs="Tahoma"/>
          <w:color w:val="706D6D"/>
        </w:rPr>
        <w:t xml:space="preserve"> или по поручению Работодателя или его представителя.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2. Пункт 5.4.   </w:t>
      </w:r>
      <w:r>
        <w:rPr>
          <w:rFonts w:ascii="Tahoma" w:hAnsi="Tahoma" w:cs="Tahoma"/>
          <w:color w:val="000000"/>
        </w:rPr>
        <w:t>изложить в следующей редакции:</w:t>
      </w:r>
    </w:p>
    <w:p w:rsidR="0037015D" w:rsidRDefault="0037015D" w:rsidP="0037015D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«Работникам    устанавливается    ежегодный    основной оплачиваемый отпуск продолжительностью 28 календарных дней. Муниципальным служащим устанавливается    ежегодный    основной оплачиваемый отпуск продолжительностью 30 календарных дней, выборным должностным лицам местного самоуправления – 28 календарных дней.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37015D" w:rsidRDefault="0037015D" w:rsidP="0037015D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1) при стаже муниципальной службы от 1 года до 5 лет - 1 календарный день;</w:t>
      </w:r>
    </w:p>
    <w:p w:rsidR="0037015D" w:rsidRDefault="0037015D" w:rsidP="0037015D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2) при стаже муниципальной службы от 5 до 10 лет - 5 календарных дней;</w:t>
      </w:r>
    </w:p>
    <w:p w:rsidR="0037015D" w:rsidRDefault="0037015D" w:rsidP="0037015D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3) при стаже муниципальной службы от 10 до 15 лет - 7 календарных дней;</w:t>
      </w:r>
    </w:p>
    <w:p w:rsidR="0037015D" w:rsidRDefault="0037015D" w:rsidP="0037015D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4) при стаже муниципальной службы 15 лет и более - 10 календарных дней.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продолжительность дополнительного оплачиваемого отпуска определяется в соответствии с Законом Республики Хакасия №39-ЗРХ от 06 июля 2007г. «О муниципальной службе в Республике Хакасия» </w:t>
      </w:r>
      <w:proofErr w:type="gramStart"/>
      <w:r>
        <w:rPr>
          <w:rFonts w:ascii="Tahoma" w:hAnsi="Tahoma" w:cs="Tahoma"/>
          <w:color w:val="706D6D"/>
        </w:rPr>
        <w:t xml:space="preserve">( </w:t>
      </w:r>
      <w:proofErr w:type="gramEnd"/>
      <w:r>
        <w:rPr>
          <w:rFonts w:ascii="Tahoma" w:hAnsi="Tahoma" w:cs="Tahoma"/>
          <w:color w:val="706D6D"/>
        </w:rPr>
        <w:t>с последующими изменениями. Выборному должностному лицу местного самоуправления сверх ежегодного основного оплачиваемого отпуска предоставляется дополнительный оплачиваемый отпуск продолжительностью 15 календарных дней.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Всем работникам  в соответствии с Законом РФ от 19.02.1993г №4520-1   устанавливается ежегодный дополнительный отпуск продолжительностью 8 календарных дней.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3. Пункт 6.1  Правил изложить в следующей редакции: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«6.1.  За добросовестное и своевременное исполнение работниками трудовых обязанностей 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                                              Другие виды поощрений работников за труд определяются коллективным договором или правилами внутреннего трудового распорядка, а также уставами и положениями о дисциплине. За особые трудовые заслуги перед обществом и государством работники могут быть представлены к государственным наградам.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4. Настоящее решение вступает в силу со дня официального опубликования (обнародования).</w:t>
      </w:r>
    </w:p>
    <w:p w:rsidR="0037015D" w:rsidRDefault="0037015D" w:rsidP="0037015D">
      <w:pPr>
        <w:pStyle w:val="defaul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5. Контроль по исполнению данного постановления оставляю за собой.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7015D" w:rsidRDefault="0037015D" w:rsidP="0037015D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Жемчужненского     сельсовета                                                  Т.В.Русинович</w:t>
      </w:r>
    </w:p>
    <w:p w:rsidR="0037015D" w:rsidRDefault="0037015D" w:rsidP="0037015D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C2835" w:rsidRPr="00B8500D" w:rsidRDefault="00DC2835" w:rsidP="0037015D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2023-08-25T06:16:00Z</dcterms:created>
  <dcterms:modified xsi:type="dcterms:W3CDTF">2023-08-25T06:16:00Z</dcterms:modified>
</cp:coreProperties>
</file>