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ПРОЕКТ изменений в Правила землепользования и застройки территории муниципального образования Жемчужненский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        Земельный участок, расположенный  от трассы «Шира –Абакан» в юго-восточном направлении от границы застройки п. Колодезный до границы заповедника «Хакасский» и от трассы «Шира –Абакан» в юго-западном  направлении от границы застройки п. Колодезный до границы заповедника «Хакасский» ,    выделить и определить для него зону, как «Зону учреждений отдыха и туризма » Р2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Секретарь комиссии Переверзева Т.А.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