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26 от 24.12.2020г. «Об утверждении бюджета муниципального образования Жемчужненский сельсовет на 2021 год 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30.03.2021 №2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 РОССИЙСКАЯ ФЕДЕРАЦИЯ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 30.03.2021г.                                     п.Жемчужный                                                   № 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26  от 24.12.2020г.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2021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Рассмотрев  ходатайство главы муниципального образования Жемчужненский сельсовет по вопросу внесения изменений в решение Совета депутатов   Жемчужненского сельсовета от 24.12.2020 № 26, в связи с увеличением субсидий из бюджета РХ, уточнение расходов по разделам бюджетной классификации и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Внести в Решение Совета депутатов   Жемчужненского сельсовета от 24.12.2020 г. №  26  «Об утверждении   бюджета муниципального образования Жемчужненский сельсовет на 2021 год и на плановый период 2022 и 2023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2021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167 733,0 тысячи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172 933,0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дефицит бюджета в сумме 5200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Приложение № 1 «Источники финансирования дефицита бюджета муниципального образования Жемчужненский сельсовет на  2021 год» изложить в новой редакции согласно приложению № 1 к настоящему решению.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3. Приложение № 3 «Доходы бюджета муниципального образования Жемчужненский сельсовет на  2021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2021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2021 год» изложить в новой редакции согласно приложению   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6.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2021год»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2020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В.В.Томановский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