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Решение от 28.04.2016 № 09 «Об утверждении Положения «О бюджетном устройстве, бюджетном процессе и финансовом контроле в муниципальном образовании Жемчужненский сельсовет»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26.03.2020 № 9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РОССИЙСКАЯ ФЕДЕРАЦИЯ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26.03.2020г.                                      п.Жемчужный                                               №  9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внесении изменений в Решение от 28.04.2016 № 09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«Об утверждении  Положения «О бюджетном устройстве,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бюджетном процессе и финансовом контроле 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муниципальном образовании Жемчужненский сельсовет»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Рассмотрев протест прокуратуры Ширинского района от 05.03.2020  года № 7-4-2020 на решение Совета депутатов Жемчужненского сельсовета от  28.04.2016 № 09 «Об утверждении  Положения «О бюджетном устройстве, бюджетном процессе и финансовом контроле в муниципальном образовании Жемчужненский сельсовет»,  в соответствии с Бюджетным кодексом РФ, статьей 27 Устава муниципального образования Жемчужненский сельсовет Ширинского района Республики Хакасия, Совет депутатов Совет депутатов 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1. Протест прокуратуры Ширинского  района   от  05.03.2020  года № 7-4-2020 на решение Совета депутатов Жемчужненского сельсовета от  28.04.2016 № 09 «Об утверждении  Положения «О бюджетном устройстве, бюджетном процессе и финансовом контроле в муниципальном образовании Жемчужненский сельсовет»    удовлетворить.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2. В связи с изменениями федерального законодательства отдельные статьи Положения  «О бюджетном устройстве, бюджетном процессе и финансовом контроле 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муниципальном образовании Жемчужненский сельсовет»  изложить в новой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ст.9 п.3 «Средства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установленным администрацией Жемчужненского сельсовета»;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ст.12 п.3 пп.2  «разница между привлеченными и погашенными муниципальным образованием Жемчужненский сельсовет кредитами кредитных организаций в валюте Российской Федерации»;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ст.13 п.2: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пп.2 «бюджетным кредитам, привлеченным в местный бюджет из других бюджетов бюджетной системы Российской Федерации»;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в пп. 3 слова "полученным муниципальным образованием" заменить словами "привлеченным муниципальным образованием от кредитных организаций";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Courier New"/>
          <w:color w:val="000000"/>
          <w:sz w:val="20"/>
          <w:lang w:val="en-US"/>
        </w:rPr>
      </w:pPr>
      <w:r>
        <w:rPr>
          <w:rFonts w:ascii="Courier New"/>
          <w:color w:val="000000"/>
          <w:sz w:val="20"/>
          <w:rtl w:val="off"/>
          <w:lang w:val="en-US"/>
        </w:rPr>
        <w:t xml:space="preserve">в </w:t>
      </w:r>
      <w:r>
        <w:fldChar w:fldCharType="begin"/>
      </w:r>
      <w:r>
        <w:instrText xml:space="preserve"> HYPERLINK "https://login.consultant.ru/link/?rnd=031933616C039DFE04183B75AAB48709&amp;req=doc&amp;base=RZR&amp;n=330083&amp;dst=1720&amp;fld=134&amp;REFFIELD=134&amp;REFDST=100203&amp;REFDOC=330680&amp;REFBASE=RZR&amp;stat=refcode%3D10677%3Bdstident%3D1720%3Bindex%3D234&amp;date=27.03.2020" </w:instrText>
      </w:r>
      <w:r>
        <w:fldChar w:fldCharType="separate"/>
      </w:r>
      <w:r>
        <w:rPr>
          <w:rFonts w:ascii="Courier New"/>
          <w:color w:val="6d6d6d"/>
          <w:sz w:val="20"/>
          <w:u w:val="single"/>
          <w:rtl w:val="off"/>
          <w:lang w:val="en-US"/>
        </w:rPr>
        <w:t>пп</w:t>
      </w:r>
      <w:r>
        <w:fldChar w:fldCharType="end"/>
      </w:r>
      <w:r>
        <w:rPr>
          <w:rFonts w:ascii="Courier New"/>
          <w:color w:val="000000"/>
          <w:sz w:val="20"/>
          <w:rtl w:val="off"/>
          <w:lang w:val="en-US"/>
        </w:rPr>
        <w:t>. 5 слова "(за исключением указанных)" исключить;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Courier New"/>
          <w:color w:val="000000"/>
          <w:sz w:val="20"/>
          <w:lang w:val="en-US"/>
        </w:rPr>
      </w:pPr>
      <w:r>
        <w:rPr>
          <w:rFonts w:ascii="Courier New"/>
          <w:color w:val="000000"/>
          <w:sz w:val="20"/>
          <w:rtl w:val="off"/>
          <w:lang w:val="en-US"/>
        </w:rPr>
        <w:t xml:space="preserve">п. 3 </w:t>
      </w:r>
      <w:r>
        <w:fldChar w:fldCharType="begin"/>
      </w:r>
      <w:r>
        <w:instrText xml:space="preserve"> HYPERLINK "https://login.consultant.ru/link/?rnd=031933616C039DFE04183B75AAB48709&amp;req=doc&amp;base=RZR&amp;n=330083&amp;dst=1707&amp;fld=134&amp;REFFIELD=134&amp;REFDST=100204&amp;REFDOC=330680&amp;REFBASE=RZR&amp;stat=refcode%3D10677%3Bdstident%3D1707%3Bindex%3D235&amp;date=27.03.2020" </w:instrText>
      </w:r>
      <w:r>
        <w:fldChar w:fldCharType="separate"/>
      </w:r>
      <w:r>
        <w:rPr>
          <w:rFonts w:ascii="Courier New"/>
          <w:color w:val="6d6d6d"/>
          <w:sz w:val="20"/>
          <w:u w:val="single"/>
          <w:rtl w:val="off"/>
          <w:lang w:val="en-US"/>
        </w:rPr>
        <w:t>дополнить</w:t>
      </w:r>
      <w:r>
        <w:fldChar w:fldCharType="end"/>
      </w:r>
      <w:r>
        <w:rPr>
          <w:rFonts w:ascii="Courier New"/>
          <w:color w:val="000000"/>
          <w:sz w:val="20"/>
          <w:rtl w:val="off"/>
          <w:lang w:val="en-US"/>
        </w:rPr>
        <w:t xml:space="preserve"> пунктами 3.1 и 3.2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Courier New"/>
          <w:color w:val="000000"/>
          <w:sz w:val="20"/>
          <w:lang w:val="en-US"/>
        </w:rPr>
      </w:pPr>
      <w:r>
        <w:rPr>
          <w:rFonts w:ascii="Courier New"/>
          <w:color w:val="000000"/>
          <w:sz w:val="20"/>
          <w:rtl w:val="off"/>
          <w:lang w:val="en-US"/>
        </w:rPr>
        <w:t>«3.1. В объем муниципального внутреннего долга включаются: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Courier New"/>
          <w:color w:val="000000"/>
          <w:sz w:val="20"/>
          <w:lang w:val="en-US"/>
        </w:rPr>
      </w:pPr>
      <w:r>
        <w:rPr>
          <w:rFonts w:ascii="Courier New"/>
          <w:color w:val="000000"/>
          <w:sz w:val="20"/>
          <w:rtl w:val="off"/>
          <w:lang w:val="en-US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Courier New"/>
          <w:color w:val="000000"/>
          <w:sz w:val="20"/>
          <w:lang w:val="en-US"/>
        </w:rPr>
      </w:pPr>
      <w:r>
        <w:rPr>
          <w:rFonts w:ascii="Courier New"/>
          <w:color w:val="000000"/>
          <w:sz w:val="20"/>
          <w:rtl w:val="off"/>
          <w:lang w:val="en-US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Courier New"/>
          <w:color w:val="000000"/>
          <w:sz w:val="20"/>
          <w:lang w:val="en-US"/>
        </w:rPr>
      </w:pPr>
      <w:r>
        <w:rPr>
          <w:rFonts w:ascii="Courier New"/>
          <w:color w:val="000000"/>
          <w:sz w:val="20"/>
          <w:rtl w:val="off"/>
          <w:lang w:val="en-US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Courier New"/>
          <w:color w:val="000000"/>
          <w:sz w:val="20"/>
          <w:lang w:val="en-US"/>
        </w:rPr>
      </w:pPr>
      <w:r>
        <w:rPr>
          <w:rFonts w:ascii="Courier New"/>
          <w:color w:val="000000"/>
          <w:sz w:val="20"/>
          <w:rtl w:val="off"/>
          <w:lang w:val="en-US"/>
        </w:rPr>
        <w:t>4) объем обязательств по муниципальным гарантиям, выраженным в валюте Российской Федерации;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Courier New"/>
          <w:color w:val="000000"/>
          <w:sz w:val="20"/>
          <w:lang w:val="en-US"/>
        </w:rPr>
      </w:pPr>
      <w:r>
        <w:rPr>
          <w:rFonts w:ascii="Courier New"/>
          <w:color w:val="000000"/>
          <w:sz w:val="20"/>
          <w:rtl w:val="off"/>
          <w:lang w:val="en-US"/>
        </w:rPr>
        <w:t>5) объем иных непогашенных долговых обязательств муниципального образования в валюте Российской Федерации.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Courier New"/>
          <w:color w:val="000000"/>
          <w:sz w:val="20"/>
          <w:lang w:val="en-US"/>
        </w:rPr>
      </w:pPr>
      <w:r>
        <w:rPr>
          <w:rFonts w:ascii="Courier New"/>
          <w:color w:val="000000"/>
          <w:sz w:val="20"/>
          <w:rtl w:val="off"/>
          <w:lang w:val="en-US"/>
        </w:rPr>
        <w:t>3.2. В объем муниципального внешнего долга включаются: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Courier New"/>
          <w:color w:val="000000"/>
          <w:sz w:val="20"/>
          <w:lang w:val="en-US"/>
        </w:rPr>
      </w:pPr>
      <w:r>
        <w:rPr>
          <w:rFonts w:ascii="Courier New"/>
          <w:color w:val="000000"/>
          <w:sz w:val="20"/>
          <w:rtl w:val="off"/>
          <w:lang w:val="en-US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Courier New"/>
          <w:color w:val="000000"/>
          <w:sz w:val="20"/>
          <w:lang w:val="en-US"/>
        </w:rPr>
      </w:pPr>
      <w:r>
        <w:rPr>
          <w:rFonts w:ascii="Courier New"/>
          <w:color w:val="000000"/>
          <w:sz w:val="20"/>
          <w:rtl w:val="off"/>
          <w:lang w:val="en-US"/>
        </w:rPr>
        <w:t>2)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- ст.15 п.1 «В случае если муниципальное долговое обязательство, выраженное 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муниципального образования Жемчужненский сельсовет действия) в течение трех лет с даты, следующей за датой погашения, предусмотренной условиями муниципального долгового обязательства, или истек срок муниципальной гарантии и в иных случаях, определенных статьей 115 Бюджетного кодекса Российской Федерации, указанное обязательство считается полностью прекращенным и списывается с муниципального долга, если иное не предусмотрено решениями Совета депутатов Жемчужненского сельсовета»;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Courier New"/>
          <w:color w:val="000000"/>
          <w:sz w:val="20"/>
          <w:lang w:val="en-US"/>
        </w:rPr>
      </w:pPr>
      <w:r>
        <w:rPr>
          <w:rFonts w:ascii="Courier New"/>
          <w:color w:val="000000"/>
          <w:sz w:val="20"/>
          <w:rtl w:val="off"/>
          <w:lang w:val="en-US"/>
        </w:rPr>
        <w:t xml:space="preserve">  -ст. 44 п.3 пп.1 «принятие и </w:t>
      </w:r>
      <w:r>
        <w:fldChar w:fldCharType="begin"/>
      </w:r>
      <w:r>
        <w:instrText xml:space="preserve"> HYPERLINK "https://login.consultant.ru/link/?rnd=031933616C039DFE04183B75AAB48709&amp;req=doc&amp;base=RZR&amp;n=343082&amp;dst=100041&amp;fld=134&amp;REFFIELD=134&amp;REFDST=4414&amp;REFDOC=327958&amp;REFBASE=RZR&amp;stat=refcode%3D16610%3Bdstident%3D100041%3Bindex%3D7543&amp;date=27.03.2020" </w:instrText>
      </w:r>
      <w:r>
        <w:fldChar w:fldCharType="separate"/>
      </w:r>
      <w:r>
        <w:rPr>
          <w:rFonts w:ascii="Courier New"/>
          <w:color w:val="6d6d6d"/>
          <w:sz w:val="20"/>
          <w:u w:val="single"/>
          <w:rtl w:val="off"/>
          <w:lang w:val="en-US"/>
        </w:rPr>
        <w:t>учет</w:t>
      </w:r>
      <w:r>
        <w:fldChar w:fldCharType="end"/>
      </w:r>
      <w:r>
        <w:rPr>
          <w:rFonts w:ascii="Courier New"/>
          <w:color w:val="000000"/>
          <w:sz w:val="20"/>
          <w:rtl w:val="off"/>
          <w:lang w:val="en-US"/>
        </w:rPr>
        <w:t xml:space="preserve"> бюджетных и денежных обязательств»;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-ст.46 п.2 «В бюджетной смете казенного учреждения дополнительно должны утверждаться иные показатели, предусмотренные Порядком составления и ведения бюджетной сметы казенного учреждения»;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- ст.48 п.4  «Не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Courier New"/>
          <w:color w:val="000000"/>
          <w:sz w:val="20"/>
          <w:lang w:val="en-US"/>
        </w:rPr>
      </w:pPr>
      <w:r>
        <w:rPr>
          <w:rFonts w:ascii="Courier New"/>
          <w:color w:val="000000"/>
          <w:sz w:val="20"/>
          <w:rtl w:val="off"/>
          <w:lang w:val="en-US"/>
        </w:rPr>
        <w:t xml:space="preserve"> - ст.49 п.4 абзац 5 «Пояснительная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Courier New"/>
          <w:color w:val="000000"/>
          <w:sz w:val="20"/>
          <w:lang w:val="en-US"/>
        </w:rPr>
      </w:pPr>
      <w:r>
        <w:rPr>
          <w:rFonts w:ascii="Courier New"/>
          <w:color w:val="000000"/>
          <w:sz w:val="20"/>
          <w:rtl w:val="off"/>
          <w:lang w:val="en-US"/>
        </w:rPr>
        <w:t xml:space="preserve">- ст.52 п.2  «Внешняя проверка годового отчета об исполнении местного бюджета осуществляется контрольно-счетным органом муниципального района в порядке, установленном муниципальным правовым актом представительного органа муниципального  образования  Жемчужненский сельсовет,  с соблюдением требований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Courier New"/>
          <w:color w:val="000000"/>
          <w:sz w:val="20"/>
          <w:lang w:val="en-US"/>
        </w:rPr>
      </w:pPr>
      <w:r>
        <w:rPr>
          <w:rFonts w:ascii="Courier New"/>
          <w:color w:val="000000"/>
          <w:sz w:val="20"/>
          <w:rtl w:val="off"/>
          <w:lang w:val="en-US"/>
        </w:rPr>
        <w:t>Бюджетного Кодекса и с учетом особенностей, установленных федеральными законами. Внешняя проверка годового отчета об исполнении местного бюджета осуществляться контрольно-счетным органом Ширинского района на основании заключения соглашения представительным органом муниципального образования Жемчужненский сельсовет с контрольно-счетным органом Ширинского района о передаче ему полномочий по осуществлению внешнего муниципального финансового контроля»;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Courier New"/>
          <w:color w:val="000000"/>
          <w:sz w:val="20"/>
          <w:lang w:val="en-US"/>
        </w:rPr>
      </w:pPr>
      <w:r>
        <w:rPr>
          <w:rFonts w:ascii="Courier New"/>
          <w:color w:val="000000"/>
          <w:sz w:val="20"/>
          <w:rtl w:val="off"/>
          <w:lang w:val="en-US"/>
        </w:rPr>
        <w:t>- ст.53 п.2 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 муниципального образования Жемчужненский сельсовет, иная бюджетная отчетность об исполнении бюджета и бюджетная отчетность об исполнении консолидированного бюджета, иные документы, предусмотренные бюджетным законодательством Российской Федерации»;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Courier New"/>
          <w:color w:val="000000"/>
          <w:sz w:val="20"/>
          <w:lang w:val="en-US"/>
        </w:rPr>
      </w:pPr>
      <w:r>
        <w:rPr>
          <w:rFonts w:ascii="Courier New"/>
          <w:color w:val="000000"/>
          <w:sz w:val="20"/>
          <w:rtl w:val="off"/>
          <w:lang w:val="en-US"/>
        </w:rPr>
        <w:t>- ст. 54: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Courier New"/>
          <w:color w:val="000000"/>
          <w:sz w:val="20"/>
          <w:lang w:val="en-US"/>
        </w:rPr>
      </w:pPr>
      <w:r>
        <w:rPr>
          <w:rFonts w:ascii="Courier New"/>
          <w:color w:val="000000"/>
          <w:sz w:val="20"/>
          <w:rtl w:val="off"/>
          <w:lang w:val="en-US"/>
        </w:rPr>
        <w:t>«1. Решением об исполнении бюджета муниципального образования Жемчужненский сельсовет утверждается отчет об исполнении бюджета муниципального образования Жемчужненский сельсовет за отчетный финансовый год с указанием общего объема доходов, расходов и дефицита (профицита) бюджета муниципального образования Жемчужненский сельсовет.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Отдельными приложениями к решению Совета депутатов об исполнении бюджета муниципального образования Жемчужненский сельсовет за отчетный финансовый год утверждаются показатели: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доходов бюджета муниципального образования Жемчужненский сельсовет по кодам классификации доходов бюджета;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расходов бюджета муниципального образования Жемчужненский сельсовет по ведомственной структуре расходов бюджета;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расходов бюджета муниципального образования Жемчужненский сельсовет по разделам и подразделам классификации расходов бюджета;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источников финансирования дефицита бюджета муниципального образования Жемчужненский сельсовет по кодам классификации источников финансирования дефицитов бюджета муниципального образования Жемчужненский сельсовет;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Courier New"/>
          <w:color w:val="000000"/>
          <w:sz w:val="20"/>
          <w:lang w:val="en-US"/>
        </w:rPr>
      </w:pPr>
      <w:r>
        <w:rPr>
          <w:rFonts w:ascii="Courier New"/>
          <w:color w:val="000000"/>
          <w:sz w:val="20"/>
          <w:rtl w:val="off"/>
          <w:lang w:val="en-US"/>
        </w:rPr>
        <w:t>3. Решением об исполнении бюджета также утверждаются иные показатели, установленные соответственно Бюджетным Кодексом, законом субъекта Российской Федерации, муниципальным правовым актом представительного органа муниципального образования Жемчужненский сельсовет для решения об исполнении бюджета».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3. Настоящее решение вступает в силу после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Глава 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Ширинского района Республики Хакасия                                                      А.С.Кириллов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  <w:font w:name="verdana">
    <w:charset w:val="00"/>
  </w:font>
  <w:font w:name="times new roman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