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36"/>
          <w:lang w:val="en-US"/>
        </w:rPr>
      </w:pPr>
      <w:r>
        <w:rPr>
          <w:rFonts w:ascii="tahoma"/>
          <w:color w:val="000000"/>
          <w:sz w:val="36"/>
          <w:rtl w:val="off"/>
          <w:lang w:val="en-US"/>
        </w:rPr>
        <w:t>Об утверждении Положения о системе оплаты труда лиц, занимающих должности, не отнесенные к должностям муниципальной службы, в органах местного самоуправления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tahoma"/>
          <w:color w:val="000000"/>
          <w:sz w:val="20"/>
          <w:rtl w:val="off"/>
          <w:lang w:val="en-US"/>
        </w:rPr>
        <w:t>Постановление № 58 от 11.10.2011г.</w:t>
      </w:r>
      <w:r>
        <w:rPr>
          <w:rFonts w:ascii="Segoe UI"/>
          <w:color w:val="000000"/>
          <w:sz w:val="18"/>
          <w:lang w:val="en-US"/>
        </w:rPr>
        <w:br w:type="textWrapping"/>
      </w:r>
      <w:r>
        <w:rPr>
          <w:rFonts w:ascii="Segoe UI"/>
          <w:color w:val="000000"/>
          <w:sz w:val="18"/>
          <w:lang w:val="en-US"/>
        </w:rPr>
        <w:br w:type="textWrapping"/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Российская Федерация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Республика Хакасия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Администрация  муниципального образования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>Жемчужненский поссовет Ширинский 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8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8"/>
          <w:rtl w:val="off"/>
          <w:lang w:val="en-US"/>
        </w:rPr>
        <w:t xml:space="preserve">                                              </w:t>
      </w:r>
      <w:r>
        <w:rPr>
          <w:rFonts w:ascii="times new roman"/>
          <w:color w:val="000000"/>
          <w:sz w:val="26"/>
          <w:rtl w:val="off"/>
          <w:lang w:val="en-US"/>
        </w:rPr>
        <w:t>ПОСТАНОВЛЕНИЕ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6"/>
          <w:lang w:val="en-US"/>
        </w:rPr>
      </w:pPr>
      <w:r>
        <w:rPr>
          <w:rFonts w:ascii="times new roman"/>
          <w:color w:val="000000"/>
          <w:sz w:val="26"/>
          <w:rtl w:val="off"/>
          <w:lang w:val="en-US"/>
        </w:rPr>
        <w:t>от 11.10.2011 г.                            п. Жемчужный                                     №   58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432" w:right="0" w:hanging="432"/>
        <w:jc w:val="left"/>
        <w:rPr>
          <w:rFonts w:ascii="tahoma"/>
          <w:color w:val="000000"/>
          <w:sz w:val="44"/>
          <w:lang w:val="en-US"/>
        </w:rPr>
      </w:pPr>
      <w:r>
        <w:rPr>
          <w:rFonts w:ascii="times new roman"/>
          <w:color w:val="000000"/>
          <w:sz w:val="44"/>
          <w:rtl w:val="off"/>
          <w:lang w:val="en-US"/>
        </w:rPr>
        <w:t xml:space="preserve">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Об утверждении Положения о системе оплаты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труда лиц, занимающих должности, не отнесенные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должностям муниципальной службы, в органах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местного самоуправления МО Жемчужненский поссовет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"consultantplus://offline/main?base=LAW;n=117254;fld=134;dst=693"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статьей 144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Трудового кодекса Российской Федерации, </w:t>
      </w:r>
      <w:r>
        <w:fldChar w:fldCharType="begin"/>
      </w:r>
      <w:r>
        <w:instrText xml:space="preserve"> HYPERLINK "consultantplus://offline/main?base=LAW;n=117671;fld=134;dst=100651"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ч. 2 ст. 53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r>
        <w:fldChar w:fldCharType="begin"/>
      </w:r>
      <w:r>
        <w:instrText xml:space="preserve"> HYPERLINK "consultantplus://offline/main?base=RLAW188;n=35748;fld=134;dst=100051"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статьями 8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, </w:t>
      </w:r>
      <w:r>
        <w:fldChar w:fldCharType="begin"/>
      </w:r>
      <w:r>
        <w:instrText xml:space="preserve"> HYPERLINK "consultantplus://offline/main?base=RLAW188;n=35748;fld=134;dst=100240"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28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Устава МО Жемчужненский поссовет, в целях улучшения условий оплаты труда работников органов местного самоуправления МО Жемчужненский поссовет, занимающих должности, не отнесенные к должностям муниципальной службы, в органах местного самоуправления МО Жемчужненский поссовет и обеспечивающих деятельность этих органов, ПОСТАНОВЛЯЮ: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 Утвердить </w:t>
      </w:r>
      <w:r>
        <w:fldChar w:fldCharType="begin"/>
      </w:r>
      <w:r>
        <w:instrText xml:space="preserve"> HYPERLINK "consultantplus://offline/main?base=RLAW188;n=35219;fld=134;dst=100011"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Положение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 системе оплаты труда лиц, занимающих должности, не отнесенные к должностям муниципальной службы, в органах местного самоуправления МО Жемчужненский поссовет (прилагается).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Финансирование расходов, связанных с переходом на новую систему оплаты труда, осуществлять за счет смет расходов на содержание органов местного самоуправления МО Жемчужненский поссовет в пределах лимитов бюджетных обязательств на текущий финансовый год.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Настоящее Постановление вступает в силу со дня его официального опубликования и применяется к правоотношениям, возникшим с 01.07.2011.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Глава МО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Жемчужненский поссовет                                                                 С.Е.Ашуркин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 Постановлению Главы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МО Жемчужненский поссовет                                                                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                                                                                                       от  11.10.2011 № 58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right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ПОЛОЖЕНИЕ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О СИСТЕМЕ ОПЛАТЫ ТРУДА ЛИЦ, ЗАНИМАЮЩИХ ДОЛЖНОСТИ,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НЕ ОТНЕСЕННЫЕ К ДОЛЖНОСТЯМ МУНИЦИПАЛЬНОЙ СЛУЖБЫ,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ahoma"/>
          <w:color w:val="000000"/>
          <w:sz w:val="20"/>
          <w:lang w:val="en-US"/>
        </w:rPr>
      </w:pPr>
      <w:r>
        <w:rPr>
          <w:rFonts w:ascii="times new roman"/>
          <w:b/>
          <w:color w:val="000000"/>
          <w:sz w:val="20"/>
          <w:rtl w:val="off"/>
          <w:lang w:val="en-US"/>
        </w:rPr>
        <w:t>В ОРГАНАХ МЕСТНОГО САМОУПРАВЛЕНИЯ МО ШИРИНСКИЙ РАЙОН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 ОБЩИЕ ПОЛОЖЕНИЯ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1.1. Настоящее Положение разработано в целях обеспечения социальной защищенности, совершенствования, регулирования и упорядочения оплаты труда работников, занимающих должности, не отнесенные к должностям муниципальной службы, в органах местного самоуправления муниципального образования Жемчужненский поссовет (далее - работники).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1.2. Положение разработано в соответствии с Трудовым </w:t>
      </w:r>
      <w:r>
        <w:fldChar w:fldCharType="begin"/>
      </w:r>
      <w:r>
        <w:instrText xml:space="preserve"> HYPERLINK "consultantplus://offline/main?base=LAW;n=117254;fld=134"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кодексом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Российской Федерации, </w:t>
      </w:r>
      <w:r>
        <w:fldChar w:fldCharType="begin"/>
      </w:r>
      <w:r>
        <w:instrText xml:space="preserve"> HYPERLINK "consultantplus://offline/main?base=LAW;n=117671;fld=134;dst=100648"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статьей 53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Федерального закона от 06.10.2003 N 131-ФЗ "Об общих принципах организации местного самоуправления в Российской Федерации", нормативными правовыми актами Российской Федерации и Республики Хакасия.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1.3. Система определения размера оплаты труда, установленная настоящим Положением, распространяется на: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3) работников, занимающих должности руководителей, специалистов и других служащих (секретарь-машинистка, заведующий хозяйством, начальник гаража, библиотекарь, специалист по работе с общественностью, диспетчер, старший диспетчер, методист, старший методист);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4) работников, осуществляющих техническое обеспечение деятельности органов местного самоуправления (гардеробщик, дворник, подсобный рабочий, рабочий по комплексному обслуживанию и ремонту здания, сторож (вахтер), уборщик служебных помещений, водитель автомобиля, электрик-сантехник, электромонтер по обслуживанию оборудования, рабочий, выполняющий несколько смежных работ, столяр).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1.4. Заработная плата работников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выплачиваемой до введения новой системы оплаты труда, при условии сохранения объема должностных обязанностей работников и выполнения ими работ той же квалификации.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1.5. Размер начисленной заработной платы работника, полностью отработавшего норму рабочего времени и выполнившего нормы труда (трудовые обязанности), не может быть ниже минимального размера оплаты труда, установленного действующими правовыми актами.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 ОКЛАДЫ (ДОЛЖНОСТНЫЕ ОКЛАДЫ)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2.1. Система оплаты труда работников включает в себя оклады (должностные оклады), выплаты компенсационного характера, предусмотренные </w:t>
      </w:r>
      <w:r>
        <w:fldChar w:fldCharType="begin"/>
      </w:r>
      <w:r>
        <w:instrText xml:space="preserve"> HYPERLINK "consultantplus://offline/main?base=RLAW188;n=35219;fld=134;dst=100041"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разделом 3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настоящего Положения, выплаты стимулирующего характера, предусмотренные </w:t>
      </w:r>
      <w:r>
        <w:fldChar w:fldCharType="begin"/>
      </w:r>
      <w:r>
        <w:instrText xml:space="preserve"> HYPERLINK "consultantplus://offline/main?base=RLAW188;n=35219;fld=134;dst=100052"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разделом 4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настоящего Положения.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Работникам могут быть произведены иные выплаты в пределах фонда оплаты труда, предусмотренные действующим законодательством и коллективным договором.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2.2. Работникам устанавливаются следующие размеры окладов (должностных окладов):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tbl>
      <w:tblPr>
        <w:bidiVisual w:val="off"/>
        <w:tblW w:w="0" w:type="auto"/>
        <w:jc w:val="lef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</w:tblPr>
      <w:tblGrid>
        <w:gridCol w:w="405"/>
        <w:gridCol w:w="7425"/>
        <w:gridCol w:w="2160"/>
      </w:tblGrid>
      <w:tr>
        <w:trPr>
          <w:wBefore w:w="0" w:type="dxa"/>
          <w:jc w:val="left"/>
        </w:trPr>
        <w:tc>
          <w:tcPr>
            <w:cnfStyle w:val="100010000000"/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N</w:t>
            </w:r>
          </w:p>
        </w:tc>
        <w:tc>
          <w:tcPr>
            <w:cnfStyle w:val="100001000000"/>
            <w:tcW w:w="7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Наименование должности               </w:t>
            </w:r>
          </w:p>
        </w:tc>
        <w:tc>
          <w:tcPr>
            <w:cnfStyle w:val="100010000000"/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Оклад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(должностной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оклад), рублей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99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Работники, осуществляющие техническое обеспечение деятельности органов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местного самоуправления                                            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1.</w:t>
            </w:r>
          </w:p>
        </w:tc>
        <w:tc>
          <w:tcPr>
            <w:cnfStyle w:val="000001000000"/>
            <w:tcW w:w="7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Гардеробщик, дворник, подсобный рабочий, сторож      </w:t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br w:type="textWrapping"/>
            </w: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(вахтер), уборщик служебных помещений                 </w:t>
            </w:r>
          </w:p>
        </w:tc>
        <w:tc>
          <w:tcPr>
            <w:cnfStyle w:val="000010000000"/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2000     </w:t>
            </w:r>
          </w:p>
        </w:tc>
      </w:tr>
      <w:tr>
        <w:trPr>
          <w:wBefore w:w="0" w:type="dxa"/>
          <w:jc w:val="left"/>
        </w:trPr>
        <w:tc>
          <w:tcPr>
            <w:cnfStyle w:val="000010000000"/>
            <w:tcW w:w="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>2.</w:t>
            </w:r>
          </w:p>
        </w:tc>
        <w:tc>
          <w:tcPr>
            <w:cnfStyle w:val="000001000000"/>
            <w:tcW w:w="7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Водитель автомобиля                                  </w:t>
            </w:r>
          </w:p>
        </w:tc>
        <w:tc>
          <w:tcPr>
            <w:cnfStyle w:val="000010000000"/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Segoe UI"/>
                <w:color w:val="000000"/>
                <w:sz w:val="18"/>
                <w:lang w:val="en-US"/>
              </w:rPr>
            </w:pPr>
            <w:r>
              <w:rPr>
                <w:rFonts w:ascii="Segoe UI"/>
                <w:color w:val="000000"/>
                <w:sz w:val="18"/>
                <w:rtl w:val="off"/>
                <w:lang w:val="en-US"/>
              </w:rPr>
              <w:t xml:space="preserve">3300     </w:t>
            </w:r>
          </w:p>
        </w:tc>
      </w:tr>
    </w:tbl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Индексация (повышение) окладов работников   осуществляется путем внесения изменений в соответствии с нормативно-правовым актом органа местного самоуправления. При индексации (увеличении) окладов их размеры подлежат округлению до целого рубля в сторону увеличения.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 ПЕРЕЧЕНЬ И ПОРЯДОК ОСУЩЕСТВЛЕНИЯ ВЫПЛАТ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КОМПЕНСАЦИОННОГО ХАРАКТЕРА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3.1. К выплатам компенсационного характера относятся: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районный коэффициент и процентная надбавка за стаж работы в организациях Республики Хакасия;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- выплаты работникам, занятым на тяжелых работах, работах с вредными и/или опасными и иными особыми условиями труда в соответствии с Трудовым </w:t>
      </w:r>
      <w:r>
        <w:fldChar w:fldCharType="begin"/>
      </w:r>
      <w:r>
        <w:instrText xml:space="preserve"> HYPERLINK "consultantplus://offline/main?base=LAW;n=117254;fld=134"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кодексом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Российской Федерации;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выплаты за работу в условиях, отклоняющихся от нормальных, за особые условия работы (при выполнении работ различной квалификации, совмещении профессий (должностей), сверхурочной работе, работе в ночное время, срочность, ненормированный рабочий день, напряженность и при выполнении работ в других условиях, отклоняющихся от нормальных);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- надбавки за работу со сведениями, составляющими государственную тайну, в соответствии с </w:t>
      </w:r>
      <w:r>
        <w:fldChar w:fldCharType="begin"/>
      </w:r>
      <w:r>
        <w:instrText xml:space="preserve"> HYPERLINK "consultantplus://offline/main?base=LAW;n=77481;fld=134"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Постановлением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3.2. Надбавка за ненормированный рабочий день может устанавливаться в размере до 75 процентов оклада (должностного оклада).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3.3. За работу со вредными и (или) опасными и иными особыми условиями труда, в условиях труда, отклоняющихся от нормальных может быть установлена надбавка в размере до 50% от тарифной ставки (должностного оклада).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3.4. При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 доплата, размер которой определяется соглашением сторон трудового договора (</w:t>
      </w:r>
      <w:r>
        <w:fldChar w:fldCharType="begin"/>
      </w:r>
      <w:r>
        <w:instrText xml:space="preserve"> HYPERLINK "consultantplus://offline/main?base=LAW;n=117254;fld=134;dst=709"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статья 151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Трудового кодекса Российской Федерации).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3.5. Выплаты компенсационного характера, размеры и условия их осуществления устанавливаются соглашением и (или) локальным нормативным актом в соответствии с трудовым законодательством и иными нормативными правовыми актами, содержащими нормы трудового права.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3.6. Районный коэффициент и процентная надбавка за стаж работы в организациях Республики Хакасия являются обязательными выплатами, начисление которых производится на фактический заработок.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540" w:right="0" w:firstLine="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 ПЕРЕЧЕНЬ И ПОРЯДОК ОСУЩЕСТВЛЕНИЯ ВЫПЛАТ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center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СТИМУЛИРУЮЩЕГО ХАРАКТЕРА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4.1. К выплатам стимулирующего характера относятся: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надбавка за стаж работы (выслугу лет);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премии по результатам (итогам) работы за год, квартал, месяц;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премии за интенсивность и высокие результаты работы;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премии за выполнение особо важных и срочных работ, заданий;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иные выплаты, предусмотренные действующим законодательством, коллективным договором, соглашением и (или) локальным нормативным актом.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4.2. Виды выплат стимулирующего характера, размеры и условия их осуществления определяются соглашением и (или) локальным нормативным актом.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4.3. Выплаты стимулирующего характера производятся в пределах бюджетных ассигнований на оплату труда работников.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4.4. Надбавка за стаж работы (выслугу лет).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4.4.1. Надбавка за выслугу лет устанавливается и выплачивается работникам дифференцированно в зависимости от стажа работы, дающего право на получение этой надбавки, в следующих размерах: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от 1 до 5 лет - 10 процентов;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от 5 до 10 лет - 15 процентов;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от 10 до 15 лет - 20 процентов;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от 15 и выше - 30 процентов.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 стаж работы, дающий право на получение ежемесячной надбавки за стаж работы, включаются периоды работы в органах местного самоуправления.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 xml:space="preserve">4.4.2. В стаж работы водителей включаются периоды работы в должности водителя в организациях, любых форм собственности, а также время прохождения военной службы в соответствии с Федеральным </w:t>
      </w:r>
      <w:r>
        <w:fldChar w:fldCharType="begin"/>
      </w:r>
      <w:r>
        <w:instrText xml:space="preserve"> HYPERLINK "consultantplus://offline/main?base=LAW;n=117061;fld=134" </w:instrText>
      </w:r>
      <w:r>
        <w:fldChar w:fldCharType="separate"/>
      </w:r>
      <w:r>
        <w:rPr>
          <w:rFonts w:ascii="times new roman"/>
          <w:color w:val="0000ff"/>
          <w:sz w:val="20"/>
          <w:u w:val="single"/>
          <w:rtl w:val="off"/>
          <w:lang w:val="en-US"/>
        </w:rPr>
        <w:t>законом</w:t>
      </w:r>
      <w:r>
        <w:fldChar w:fldCharType="end"/>
      </w:r>
      <w:r>
        <w:rPr>
          <w:rFonts w:ascii="times new roman"/>
          <w:color w:val="000000"/>
          <w:sz w:val="20"/>
          <w:rtl w:val="off"/>
          <w:lang w:val="en-US"/>
        </w:rPr>
        <w:t xml:space="preserve"> от 28 марта 1998 г. N 53-ФЗ "О воинской обязанности и военной службе".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4.4.3. Надбавка за стаж работы (выслугу лет) начисляется исходя из должностного оклада работника без учета доплат и надбавок и выплачивается ежемесячно одновременно с заработной платой.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4.4.4. Назначение надбавки за стаж работы (выслугу лет) производится на основании приказа (распоряжения) работодателя.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4.4.5. Надбавки, устанавливаемые к окладам водителей автомобилей по распоряжениям руководителей с учетом характера выполняемой работы, стажа работы, качества и результатов труда: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надбавки за классность в размере: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водителю 1 класса - 25% должностного оклада;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водителю 2 класса - 15% должностного оклада;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доплата за интенсивный и напряженный труд - до 75 процентов к окладу (должностному окладу);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- доплата за безаварийный режим работы - до 100 процентов к окладу (должностному окладу).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4.5. Премии по результатам работы за месяц.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4.5.1. Премирование работников по итогам работы за месяц производится в размере 33,3 процента оклада (должностного оклада) ежемесячно при добросовестном исполнении трудовых обязанностей и с учетом личного вклада работника.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4.5.2. Премии по результатам работы за месяц выплачиваются в соответствии с положением о премировании, на основании приказа (распоряжения) работодателя.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4.6. Работникам могут выплачиваться премии по итогам работы за квартал, год, премии за выполнение особо важных и срочных работ, заданий, иные премии, предусмотренные коллективным договором, соглашением и (или) локальным нормативным актом. Общий размер указанных в настоящем пункте премий не может превышать четырех окладов (должностных окладов) в год и выплачивается при наличии средств в фонде оплаты труда.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4.7. Водителям автомобилей, не имеющим аварий на служебном автомобиле в течение года (с момента трудоустройства или с момента аварии), устанавливается ежемесячная надбавка за безаварийный режим работы в размере до 100 процентов оклада (должностного оклада).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При совершении дорожно-транспортного происшествия по вине водителя автомобиля надбавка за безаварийный режим работы не начисляется, начиная с месяца, в котором допущено дорожно-транспортное происшествие, на основании приказа (распоряжения) работодателя.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ahoma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4.8. Выплаты стимулирующего характера устанавливаются работнику с учетом результативности и качества его работы. Размеры выплат стимулирующего характера рекомендуется устанавливать в процентном отношении или в абсолютных размерах к установленным окладам (должностным окладам) работников.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4.10. Материальная помощь.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4.10.1. Работникам, проработавшим полный календарный год, оказывается материальная помощь в размере 2 должностных окладов в год. Порядок оказания материальной помощи работникам определяется в коллективном договоре, соглашении и (или) локальном нормативном акте.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4.10.2. Решение об оказании материальной помощи и ее конкретных размерах принимает работодатель на основании письменного заявления работника, соглашения и (или) локального нормативного акта.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540"/>
        <w:jc w:val="both"/>
        <w:rPr>
          <w:rFonts w:ascii="times new roman"/>
          <w:color w:val="000000"/>
          <w:sz w:val="20"/>
          <w:lang w:val="en-US"/>
        </w:rPr>
      </w:pPr>
      <w:r>
        <w:rPr>
          <w:rFonts w:ascii="times new roman"/>
          <w:color w:val="000000"/>
          <w:sz w:val="20"/>
          <w:rtl w:val="off"/>
          <w:lang w:val="en-US"/>
        </w:rPr>
        <w:t>4.11. Размеры иных выплат стимулирующего характера работодатели определяют самостоятельно в пределах имеющихся у них средств на оплату труда работников.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225" w:line="240" w:lineRule="auto"/>
        <w:ind w:left="0" w:right="0" w:firstLine="0"/>
        <w:jc w:val="both"/>
        <w:rPr/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tahoma">
    <w:charset w:val="00"/>
  </w:font>
  <w:font w:name="Segoe UI">
    <w:charset w:val="00"/>
  </w:font>
  <w:font w:name="times new roman">
    <w:charset w:val="00"/>
  </w:font>
  <w:font w:name="symbol">
    <w:charset w:val="02"/>
  </w:font>
  <w:font w:name="times new roman&amp;quot;">
    <w:charset w:val="00"/>
  </w:font>
  <w:font w:name="calibri">
    <w:charset w:val="00"/>
  </w:font>
  <w:font w:name="arial">
    <w:charset w:val="00"/>
  </w:font>
  <w:font w:name="courier new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Керанхан</dc:creator>
  <cp:lastModifiedBy>Керанхан</cp:lastModifiedBy>
</cp:coreProperties>
</file>