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муниципальной комплексной программы «Профилактика правонарушений и борьба с преступностью на территории МО Жемчужненский поссовет на 2011-2013 годы»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23 от 18.04.2011 года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от 18.04.2011 г.                                          п.Жемчужный                                                №  23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Об утверждении муниципальной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комплексной программы  «Профилактика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правонарушений и борьба с преступностью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на территории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на 2011-2013 годы»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В целях снижения уровня преступности на территории муниципального образования Жемчужненский поссовет, воссоздания системы социальной профилактики, направленной  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ресоциализации лиц, освободившихся из мест лишения свободы, совершенствования нормативной правовой базы по профилактике правонарушений, повышения оперативности реагирования на заявления и сообщения о правонарушениях,   оптимизации работы по предупреждению и профилактике правонарушений, совершаемых на улицах и в общественных местах, статьи  40 Устава  муниципального образования  Жемчужненский поссовет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1. Утвердить комплексную </w:t>
      </w:r>
      <w:r>
        <w:fldChar w:fldCharType="begin"/>
      </w:r>
      <w:r>
        <w:instrText xml:space="preserve"> HYPERLINK "consultantplus://offline/main?base=RLAW188;n=30496;fld=134;dst=100010" </w:instrText>
      </w:r>
      <w:r>
        <w:fldChar w:fldCharType="separate"/>
      </w:r>
      <w:r>
        <w:rPr>
          <w:rFonts w:ascii="times new roman"/>
          <w:color w:val="000000"/>
          <w:sz w:val="24"/>
          <w:u w:val="single"/>
          <w:rtl w:val="off"/>
          <w:lang w:val="en-US"/>
        </w:rPr>
        <w:t>программу</w:t>
      </w:r>
      <w:r>
        <w:fldChar w:fldCharType="end"/>
      </w:r>
      <w:r>
        <w:rPr>
          <w:rFonts w:ascii="times new roman"/>
          <w:color w:val="000000"/>
          <w:sz w:val="24"/>
          <w:rtl w:val="off"/>
          <w:lang w:val="en-US"/>
        </w:rPr>
        <w:t xml:space="preserve"> "Профилактика правонарушений в муниципальном образовании Жемчужненский поссовет на 2011 - 2013 годы" (приложение N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2. Настоящее решение вступает в силу со дня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поссовет        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