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совершенствовании бюджетного процесса в муниципальном образовании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74 от 26.12.2011г.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26.12. 2011 г.                                п. Жемчужный                                    №    74</w:t>
      </w:r>
      <w:r>
        <w:rPr>
          <w:rFonts w:ascii="times new roman"/>
          <w:color w:val="000000"/>
          <w:sz w:val="20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О совершенствовании бюджетного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процесса в муниципальном образовании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В соответствии с Бюджетным кодексом Российской Федерации, в целях обеспечения результативного и эффективного расходования средств местного бюджета муниципального образования Жемчужненский поссовет, повышения ответственности получателей бюджетных средств в эффективном расходовании финансовых ресурсов, совершенствования методов планирования бюджетных расходов на основе учета планируемых результатов деятельности субъектов бюджетного планирования,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2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1. Утвердить Перечень муниципальных услуг, оказываемых физическим и (или) юридическим лицам в муниципальном образовании Жемчужненский поссовет (далее - Перечень)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2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2. Утвердить Методические рекомендации по проведению оценки потребности и качества муниципальных услуг, оказываемых физическим и (или) юридическим лицам в муниципальном образовании Жемчужненский поссовет (приложение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2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3. Администрации муниципального образования Жемчужненский поссовет в соответствии с указанным в пункте 1 настоящего Постановления Перечнем: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2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а) разработать до 1 марта 2012 года: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2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стандарты качества муниципальных услуг, оказываемых физическим и (или) юридическим лицам, учитывая положения, изложенные в разделе 2 приложения 2 к настоящему Постановлению;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2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порядок проведения оценки потребности и качества муниципальных услуг, оказываемых физическим и (или) юридическим лицам, в соответствии с Методическими рекомендациями, указанными в пункте 2 настоящего Постановления;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2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б) ежегодно проводить оценку потребности объемов и качества муниципальных услуг, оказываемых физическим и (или) юридическим лицам, на очередной финансовый год и плановый период.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2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4.  Контроль за исполнением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2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2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2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И.О.Главы муниципального образования                                                                  Жемчужненский поссовет                                                                 Т.В.Русинович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муниципального образования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26.12.2011 N 74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>ПЕРЕЧЕНЬ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>МУНИЦИПАЛЬНЫХ УСЛУГ, ОКАЗЫВАЕМЫХ ФИЗИЧЕСКИМ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>И (ИЛИ) ЮРИДИЧЕСКИМ ЛИЦАМ В МУНИЦИПАЛЬНОМ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>ОБРАЗОВАНИИ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45"/>
        <w:gridCol w:w="2280"/>
        <w:gridCol w:w="2025"/>
        <w:gridCol w:w="1800"/>
        <w:gridCol w:w="1590"/>
        <w:gridCol w:w="2310"/>
      </w:tblGrid>
      <w:tr>
        <w:trPr>
          <w:wBefore w:w="0" w:type="dxa"/>
          <w:jc w:val="left"/>
        </w:trPr>
        <w:tc>
          <w:tcPr>
            <w:cnfStyle w:val="100010000000"/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ahoma"/>
                <w:color w:val="000000"/>
                <w:sz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rtl w:val="off"/>
                <w:lang w:val="en-US"/>
              </w:rPr>
              <w:t xml:space="preserve"> </w:t>
            </w:r>
          </w:p>
        </w:tc>
        <w:tc>
          <w:tcPr>
            <w:cnfStyle w:val="100001000000"/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0"/>
                <w:lang w:val="en-US"/>
              </w:rPr>
            </w:pP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t xml:space="preserve">Наименование   </w:t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t xml:space="preserve">муниципальной  </w:t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t>услуги физическим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ahoma"/>
                <w:color w:val="000000"/>
                <w:sz w:val="20"/>
                <w:lang w:val="en-US"/>
              </w:rPr>
            </w:pP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t>и (или) юридическим</w:t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t>лицам</w:t>
            </w:r>
          </w:p>
        </w:tc>
        <w:tc>
          <w:tcPr>
            <w:cnfStyle w:val="100010000000"/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0"/>
                <w:lang w:val="en-US"/>
              </w:rPr>
            </w:pP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t xml:space="preserve">Наименование   </w:t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t xml:space="preserve">муниципального  </w:t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t xml:space="preserve">учреждения или  </w:t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t>иного юридического</w:t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t xml:space="preserve">лица,      </w:t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t xml:space="preserve">предоставляющего </w:t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0"/>
                <w:rtl w:val="off"/>
                <w:lang w:val="en-US"/>
              </w:rPr>
              <w:t>услугу</w:t>
            </w:r>
          </w:p>
        </w:tc>
        <w:tc>
          <w:tcPr>
            <w:cnfStyle w:val="1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Вид услуги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(платная или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безвозмездная)</w:t>
            </w:r>
          </w:p>
        </w:tc>
        <w:tc>
          <w:tcPr>
            <w:cnfStyle w:val="100010000000"/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Получатель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услуги</w:t>
            </w:r>
          </w:p>
        </w:tc>
        <w:tc>
          <w:tcPr>
            <w:cnfStyle w:val="100001000000"/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Результат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услуги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2"/>
                <w:lang w:val="en-US"/>
              </w:rPr>
            </w:pP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 xml:space="preserve">Работа с          </w:t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 xml:space="preserve">нормативными и    </w:t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 xml:space="preserve">правовыми         </w:t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 xml:space="preserve">документами по    </w:t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 xml:space="preserve">вопросам          </w:t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 xml:space="preserve">организации        </w:t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 xml:space="preserve">местного          </w:t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 xml:space="preserve">самоуправления,   </w:t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 xml:space="preserve">деятельности      </w:t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 xml:space="preserve">общественных      </w:t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 xml:space="preserve">организаций,      </w:t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 xml:space="preserve">письмами и        </w:t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2"/>
                <w:rtl w:val="off"/>
                <w:lang w:val="en-US"/>
              </w:rPr>
              <w:t>обращениями граждан</w:t>
            </w:r>
          </w:p>
        </w:tc>
        <w:tc>
          <w:tcPr>
            <w:cnfStyle w:val="000010000000"/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Администрация   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Безвозмездная </w:t>
            </w:r>
          </w:p>
        </w:tc>
        <w:tc>
          <w:tcPr>
            <w:cnfStyle w:val="000010000000"/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Физические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и (или)   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юридические лица</w:t>
            </w:r>
          </w:p>
        </w:tc>
        <w:tc>
          <w:tcPr>
            <w:cnfStyle w:val="000001000000"/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Предоставление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услуги         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Оказание нотариальных услуг</w:t>
            </w:r>
          </w:p>
        </w:tc>
        <w:tc>
          <w:tcPr>
            <w:cnfStyle w:val="000010000000"/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Администрация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Безвозмездная и платная</w:t>
            </w:r>
          </w:p>
        </w:tc>
        <w:tc>
          <w:tcPr>
            <w:cnfStyle w:val="000010000000"/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Физические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и (или)   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юридические лица</w:t>
            </w:r>
          </w:p>
        </w:tc>
        <w:tc>
          <w:tcPr>
            <w:cnfStyle w:val="000001000000"/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Предоставление услуг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Организация и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проведение   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культурно-массовых,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концертных,  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развлекательных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мероприятий       </w:t>
            </w:r>
          </w:p>
        </w:tc>
        <w:tc>
          <w:tcPr>
            <w:cnfStyle w:val="000010000000"/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Администрация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Безвозмездная </w:t>
            </w:r>
          </w:p>
        </w:tc>
        <w:tc>
          <w:tcPr>
            <w:cnfStyle w:val="000010000000"/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Население 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муниципального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образования    </w:t>
            </w:r>
          </w:p>
        </w:tc>
        <w:tc>
          <w:tcPr>
            <w:cnfStyle w:val="000001000000"/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Получение услуг по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организации досуга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детей, молодежи и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взрослого населения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Организация и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проведение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физкультурно-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оздоровительных и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спортивно-массовых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мероприятий       </w:t>
            </w:r>
          </w:p>
        </w:tc>
        <w:tc>
          <w:tcPr>
            <w:cnfStyle w:val="000010000000"/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Администрация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Безвозмездная </w:t>
            </w:r>
          </w:p>
        </w:tc>
        <w:tc>
          <w:tcPr>
            <w:cnfStyle w:val="000010000000"/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Население 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муниципального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образования    </w:t>
            </w:r>
          </w:p>
        </w:tc>
        <w:tc>
          <w:tcPr>
            <w:cnfStyle w:val="000001000000"/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Получение       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организационного   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досуга, оздоровления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населения, занятости</w:t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молодежи          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Приложение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26.2011 № 74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>МЕТОДИЧЕСКИЕ РЕКОМЕНДАЦИИ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>ПО ПРОВЕДЕНИЮ ОЦЕНКИ ПОТРЕБНОСТИ И КАЧЕСТВА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>МУНИЦИПАЛЬНЫХ УСЛУГ, ОКАЗЫВАЕМЫХ ФИЗИЧЕСКИМ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>И (ИЛИ) ЮРИДИЧЕСКИМ ЛИЦАМ В МУНИЦИПАЛЬНОМ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>ОБРАЗОВАНИИ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Методические рекомендации по проведению оценки потребности и качества муниципальных услуг, оказываемых физическим и (или) юридическим лицам в муниципальном образовании Жемчужненский поссовет (далее - Методические рекомендации), разработаны с целью обеспечения результативного и эффективного расходования средств местного бюджета муниципального образования Жемчужненский поссовет, повышения ответственности получателей бюджетных средств в эффективном расходовании финансовых ресурсов, планирования достижения конкретных результатов и определяют основные критерии проведения оценки потребности в муниципальных услугах, оказываемых физическим и (или) юридическим лицам в муниципальном образовании Жемчужненский поссовет, и их качестве (далее - Оценка потребности и качества).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1.1. Оценка потребности и качества заключается в определении количественной оценки потребности в муниципальных услугах, оказываемых физическим и (или) юридическим лицам в муниципальном образовании Жемчужненский поссовет (далее - муниципальная услуга), удовлетворяющей определенным параметрам качества, в проведении анализа удовлетворенности потребителей качеством муниципальных услуг, анализа произведенных затрат на предоставленные муниципальной услуги, оценки результативности расходов местного бюджета муниципального образования Жемчужненский поссовет (далее - бюджет) на оказание муниципальных услуг.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 целях настоящих Методических рекомендаций: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качество оказания муниципальной услуги - степень соответствия муниципальной услуги установленным требованиям к ее оказанию, включая требования доступности и удовлетворенности для потребителей;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стандарт качества муниципальной услуги - совокупность требований к качеству оказания муниципальной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1.2. Стандарты качества муниципальных услуг разрабатываются и применяются исходя из необходимости наиболее полного удовлетворения потребителей и обеспечения доступности муниципальных услуг.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1.3. Оценка потребности и качества проводится в соответствии с утвержденными стандартами качества муниципальных услуг с применением необходимых показателей (численность потребителей, количество видов муниципальных услуг, нормативные расходы с применением коэффициентов, учитывающих особые условия предоставления муниципальных услуг, индикаторов качества и других показателей), устанавливаемых главным распорядителем бюджетных средств.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1.4. Оценка качества муниципальных услуг, оценка потребности (объемов и стоимости) предоставления физическим и (или) юридическим лицам муниципальных услуг ежегодно проводится главными распорядителями бюджетных средств.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1.5. Утвержденные стандарты качества муниципальных услуг, результаты Оценки потребности и качества используются главным распорядителем бюджетных средств при подготовке проектов муниципальных заданий, учитываются при установлении муниципального задания, формируемого в порядке, определяемом органом местного самоуправления, и разработке проекта бюджета поселения на очередной финансовый год и плановый период.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1.6. Методами сбора и обработки информации для проведения Оценки потребности и качества могут быть: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анализ отчетных показателей (отчеты об исполнении сметы расходов, отчеты по сети, штатам и контингентам);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анализ статистических показателей;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социологический опрос населения.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Основные требования к стандартам качества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муниципальных услуг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2.1. Стандарты качества муниципальных услуг разрабатываются и утверждаются в соответствии с действующим законодательством, государственными санитарно-эпидемиологическими правилами и нормативами, техническими регламентами, другими нормативными правовыми актами.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2.2. Главный распорядитель бюджетных средств разрабатывает стандарты качества муниципальных услуг и формулирует их понятным для потребителей образом, обеспечивают их открытость и публичность.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2.3. Стандарт качества муниципальной услуги включает: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цель оказания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характеристику потенциальных потребителей муниципальной услуги (категорию физических и (или) юридических лиц);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показатели оценки качества оказания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характеристику правовых основ оказания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порядок оказания муниципальной услуги (описание технологии оказания муниципальной 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требования к материально-техническому обеспечению предоставления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требования к законности и безопасности оказания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требования, обеспечивающие доступность услуги для потребителей;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требования к кадровому обеспечению предоставления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требования к уровню информационного обеспечения потребителей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иные требования, необходимые для обеспечения предоставления муниципальной услуги на высоком качественном уровне.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2.3.1. Требования к уровню материально-технического обеспечения муниципальной услуги в зависимости от содержания муниципальной услуги могут включать требования: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зданиям и прилегающей территории;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помещениям;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обеспеченности мебелью и оборудованием;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обеспеченности мягким инвентарем;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обеспеченности иным имуществом, необходимым для предоставления муниципальной услуги на высоком качественном уровне.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2.3.2. Требования к доступности услуги для потребителей в зависимости от содержания услуги могут включать: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режиму работы организаций, предоставляющих муниципальную услугу;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удаленности расположения места предоставления муниципальной услуги от потенциальных потребителей;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очередности предоставления муниципальной услуги в случае превышения спроса на муниципальную услугу над возможностями ее предоставления;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иные требования, позволяющие обеспечить должный уровень доступности муниципальной услуги потребителям.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2.3.3. Требования к кадровому обеспечению предоставления муниципальной услуги в зависимости от содержания муниципальной услуги могут включать требования: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численности персонала, участвующего в предоставлении муниципальной услуги, в том числе в соотношении с численностью потребителей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уровню квалификации персонала, участвующего в предоставлении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периодичности проведения мероприятий по переподготовке и повышению квалификации персонала, участвующего в предоставлении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иные требования к персоналу, участвующему в предоставлении муниципальной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2.3.4. Требования к уровню информационного обеспечения в зависимости от содержания муниципальной услуги могут предусматривать требования к составу, месту и периодичности размещения информации о муниципальной услуге, а также иных сведений, необходимых для потребителя муниципальной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 Показатели результативности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(оценки качества) муниципальной услуги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3.1. В целях настоящих Методических рекомендаций используются три типа показателей результативности.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Показатели конечного социально-экономического эффекта (показатели конечного эффекта) оказания муниципальной услуги - показатели, определяющие состояние и изменение объекта оказания муниципальной услуги (отдельных граждан, групп граждан, населения в целом, организаций, экономических процессов, прочего). Количество показателей конечного эффекта для одной муниципальной услуги не должно превышать семи.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Показатели непосредственного результата - показатели, отражающие статистические, социологические и иные отчетные данные, характеризующие объем и качество муниципальной услуги, объем деятельности организации, которая оказывает муниципальную услугу.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Каждому показателю конечного эффекта соответствуют несколько (от трех до десяти) показателей непосредственного результата.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Показатели использования ресурсов - показатели, отражающие объем используемых при оказании муниципальной услуги ресурсов в натуральном и стоимостном выражении, их качественные характеристики и технологию их использования в процессе оказания муниципальной услуги при заданных бюджетных ограничениях и с целью достижения целевых значений показателей непосредственного результата.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3.2. Перечень наименований показателей конечного эффекта и непосредственного результата, на основе которых осуществляется оценка эффективности оказания муниципальных услуг, разрабатывается главными распорядителями бюджетных средств.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3.3. При разработке показателей результативности следует соблюдать критерии, согласно которым каждый показатель должен быть: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специфичным (измеряет результат деятельности по предоставлению муниципальных услуг);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измеряемым (имеет информационную базу для оценки);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достижимым (находится в сфере влияния организации, предоставляющей муниципальную услугу);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релевантным (относится к данной муниципальной услуге).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 Оценка результативности и эффективности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расходов бюджета на оказание муниципальных услуг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4.1. Исходя из того, что под результативностью и эффективностью использования бюджетных средств понимается достижение заданных результатов с использованием наименьшего объема средств или достижение наилучшего результата с использованием заданного объема средств, для оценки результативности и эффективности расходов бюджета рассчитываются и анализируются: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индикаторы результативности бюджетных расходов на уровне конечного эффекта;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индикаторы результативности бюджетных расходов на уровне непосредственного результата;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индикаторы результативности бюджетных расходов на уровне использования ресурсов;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индикаторы продуктивности бюджетных расходов;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индикаторы экономичности бюджетных расходов.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4.2. Результативными признаются расходы на оказание муниципальной услуги установленного объема и качества, которые позволили в наибольшей степени приблизиться к целевым значениям показателей результативности - конечного эффекта, непосредственного результата и использования ресурсов.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4.3. Анализ индикаторов результативности расходов бюджета позволяет: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оценить качество планирования бюджетных расходов: при полном освоении средств, рассчитанных на основе целевых значений показателей результативности, неисполнение целевых значений является признаком недопроизводства или перепроизводства муниципальных услуг;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выявить основные источники неэффективного распределения и использования ресурсов;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выявить неправильно установленные взаимосвязи между показателями результативности.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4.4. На основе рассчитанных каждым получателем бюджетных средств индикаторов продуктивности и экономичности бюджетных расходов главный распорядитель бюджетных средств проводит сравнительный анализ результативности расходов на оказание разных муниципальных услуг в части экономичности и продуктивности расходов.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4.5. Индикатор продуктивности бюджетных расходов на оказание муниципальной услуги определяется расчетным путем как отношение результата расхода (конечный эффект, непосредственный результат) к единице объема использованного ресурса. Продуктивными признаются расходы, которые позволяют получить лучший результат при использовании равного объема ресурсов. Для оценки продуктивности расходов проводится сравнение отчетных значений индикаторов текущего и прошлых периодов.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4.6. Индикаторы экономичности бюджетных расходов отражают экономность использования бюджетных средств на приобретение единицы ресурсов для оказания муниципальных услуг. Расходы признаются экономичными в случае снижения расходов на приобретение заданного объема ресурсов определенного качества. Оценка экономичности расходов применяется для сравнения расходов на единицу ресурсов текущего и прошлых периодов, сравнения расходов разных субъектов оказания муниципальной услуги, сравнения расходов на оказание разных муниципальных услуг.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