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целевую программу «Совершенствование автомобильных дорог общего пользования муниципального образования Жемчужненский поссовет» на 2009-2015г.г.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15.11.2011г. № 72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 РОССИЙСКАЯ ФЕДЕРАЦИЯ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15.11.2011 г.                                   п.Жемчужный                                       № 72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 внесении изменений в целевую программу «Совершенствование автомобильных дорог общего пользования муниципального образования Жемчужненский  поссовет»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2009-2015г.г.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В связи с отсутствием софинансирования из бюджета Республики Хакасия, в соответствии с п. 8 ст. 2 Закона Республики Хакасия "О порядке решения вопросов местного значения вновь образованных муниципальных образований (сельских и городских поселений) Республики Хакасия", руководствуясь ст. 8 Устава муниципального образования Жемчужненский поссовет, Совет депутатов Жемчужненский поссовет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Внести изменения целевую программу «Совершенствование автомобильных дорог общего пользования муниципального образования Жемчужненский  поссовет» на территории муниципального образования Жемчужненский поссовет на 2010-2017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Раздел 3. </w:t>
      </w:r>
      <w:r>
        <w:rPr>
          <w:rFonts w:ascii="times new roman cyr&amp;quot;"/>
          <w:b/>
          <w:color w:val="000000"/>
          <w:sz w:val="26"/>
          <w:rtl w:val="off"/>
          <w:lang w:val="en-US"/>
        </w:rPr>
        <w:t xml:space="preserve">Перечень программных мероприятий </w:t>
      </w:r>
      <w:r>
        <w:rPr>
          <w:rFonts w:ascii="times new roman"/>
          <w:color w:val="000000"/>
          <w:sz w:val="26"/>
          <w:rtl w:val="off"/>
          <w:lang w:val="en-US"/>
        </w:rPr>
        <w:t>читать в новой редакции  (Приложение №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- Раздел 4. </w:t>
      </w:r>
      <w:r>
        <w:rPr>
          <w:rFonts w:ascii="times new roman"/>
          <w:b/>
          <w:color w:val="000000"/>
          <w:sz w:val="26"/>
          <w:rtl w:val="off"/>
          <w:lang w:val="en-US"/>
        </w:rPr>
        <w:t>Обоснование ресурсного обеспечения</w:t>
      </w:r>
      <w:r>
        <w:rPr>
          <w:rFonts w:ascii="times new roman"/>
          <w:color w:val="000000"/>
          <w:sz w:val="26"/>
          <w:rtl w:val="off"/>
          <w:lang w:val="en-US"/>
        </w:rPr>
        <w:t xml:space="preserve"> читать в новой редакции  (Приложение № 2)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05" w:right="0" w:hanging="495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Решение вступает в силу  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236" w:right="0" w:firstLine="0"/>
        <w:jc w:val="right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236" w:right="0" w:firstLine="0"/>
        <w:jc w:val="right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к Решению Совета депутатов Жемчужненский поссовет                    №__ от «__»_______2011г.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05" w:right="0" w:hanging="495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 cyr&amp;quot;"/>
          <w:b/>
          <w:color w:val="000000"/>
          <w:sz w:val="26"/>
          <w:rtl w:val="off"/>
          <w:lang w:val="en-US"/>
        </w:rPr>
        <w:t>3.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    </w:t>
      </w:r>
      <w:r>
        <w:rPr>
          <w:rFonts w:ascii="times new roman cyr&amp;quot;"/>
          <w:b/>
          <w:color w:val="000000"/>
          <w:sz w:val="26"/>
          <w:rtl w:val="off"/>
          <w:lang w:val="en-US"/>
        </w:rPr>
        <w:t>Перечень программных мероприятий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5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Для реализации поставленных целей и решения задач Программы, предусматривается выполнение комплекса мероприятий.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drawing xmlns:mc="http://schemas.openxmlformats.org/markup-compatibility/2006">
          <wp:inline>
            <wp:extent cx="5731510" cy="5192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i/>
          <w:color w:val="000000"/>
          <w:sz w:val="28"/>
          <w:rtl w:val="off"/>
          <w:lang w:val="en-US"/>
        </w:rPr>
        <w:drawing xmlns:mc="http://schemas.openxmlformats.org/markup-compatibility/2006">
          <wp:inline>
            <wp:extent cx="5731510" cy="6056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i/>
          <w:color w:val="000000"/>
          <w:sz w:val="28"/>
          <w:rtl w:val="off"/>
          <w:lang w:val="en-US"/>
        </w:rPr>
        <w:drawing xmlns:mc="http://schemas.openxmlformats.org/markup-compatibility/2006">
          <wp:inline>
            <wp:extent cx="5731510" cy="5758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236" w:right="0" w:firstLine="0"/>
        <w:jc w:val="right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>Приложение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6236" w:right="0" w:firstLine="0"/>
        <w:jc w:val="right"/>
        <w:rPr>
          <w:rFonts w:ascii="Segoe UI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к Решению Совета депутатов Жемчужненский поссовет                     №__ от «__»_______2011г.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05" w:right="0" w:hanging="495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4.</w:t>
      </w:r>
      <w:r>
        <w:rPr>
          <w:rFonts w:ascii="times new roman"/>
          <w:b/>
          <w:color w:val="000000"/>
          <w:sz w:val="14"/>
          <w:rtl w:val="off"/>
          <w:lang w:val="en-US"/>
        </w:rPr>
        <w:t xml:space="preserve">          </w:t>
      </w:r>
      <w:r>
        <w:rPr>
          <w:rFonts w:ascii="times new roman"/>
          <w:b/>
          <w:color w:val="000000"/>
          <w:sz w:val="26"/>
          <w:rtl w:val="off"/>
          <w:lang w:val="en-US"/>
        </w:rPr>
        <w:t>Обоснование ресурсного обеспечения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Формирование перечня объектов, рекомендуемых к ремонту, реконструкции и модернизации в период реализации Программы, зависит от ряда факторов, определяющим из которых  является ожидаемый размер финансовых ресурсов, которые могут выделить бюджет муниципального образования Жемчужненский поссовет и бюджет Республики Хакасия. Общая сумма финансовых затрат на реализацию программы ориентировочно составит  34694 тыс.руб., в том числе по годам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2009 – 134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2011 - 0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2012 - 6900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2013 - 7680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2014 - 14060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2015 - 5920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Бюджет муниципального образования Жемчужненский поссовет – 1862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Бюджет Республики Хакасия – 32832 тыс.руб.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center"/>
        <w:rPr/>
      </w:pPr>
      <w:r>
        <w:rPr/>
        <w:drawing xmlns:mc="http://schemas.openxmlformats.org/markup-compatibility/2006">
          <wp:inline>
            <wp:extent cx="6496050" cy="3345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Бюджет муниципального образования Жемчужненский поссовет – 1862 тыс.руб.;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Бюджет Республики Хакасия – 32832 тыс.руб.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08" w:right="0" w:firstLine="0"/>
        <w:jc w:val="center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times new roman cyr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