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5" w:rsidRDefault="00431F55" w:rsidP="00431F55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внесении изменений в муниципальные программы</w:t>
      </w:r>
    </w:p>
    <w:p w:rsidR="00431F55" w:rsidRDefault="00431F55" w:rsidP="00431F55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16.12. 2015 № 177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431F55" w:rsidRDefault="00431F55" w:rsidP="00431F55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431F55" w:rsidRDefault="00431F55" w:rsidP="00431F55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431F55" w:rsidRDefault="00431F55" w:rsidP="00431F55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431F55" w:rsidRDefault="00431F55" w:rsidP="00431F55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 район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от  16.12.2015 г.                                 п. Жемчужный                                              №   177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431F55" w:rsidRDefault="00431F55" w:rsidP="00431F55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О внесении изменений  </w:t>
      </w:r>
    </w:p>
    <w:p w:rsidR="00431F55" w:rsidRDefault="00431F55" w:rsidP="00431F55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в муниципальные программы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431F55" w:rsidRDefault="00431F55" w:rsidP="00431F55">
      <w:pPr>
        <w:shd w:val="clear" w:color="auto" w:fill="FFFFFF"/>
        <w:spacing w:after="225"/>
        <w:ind w:firstLine="540"/>
        <w:jc w:val="both"/>
        <w:textAlignment w:val="top"/>
        <w:rPr>
          <w:color w:val="706D6D"/>
        </w:rPr>
      </w:pPr>
      <w:r>
        <w:rPr>
          <w:color w:val="706D6D"/>
        </w:rPr>
        <w:t xml:space="preserve">В связи с изменением доходной части бюджета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  руководствуясь Федеральным законом N 131-ФЗ "Об общих принципах организации местного самоуправления в Российской Федерации", руководствуясь ст.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431F55" w:rsidRDefault="00431F55" w:rsidP="00431F55">
      <w:pPr>
        <w:pStyle w:val="consplustitle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 1.Внести изменения в  программу «Об утверждении муниципальной программы  «Профилактика   правонарушений  и  борьба с преступностью на территории муниципального образования  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 сельсовет на 2014-2016 годы».</w:t>
      </w:r>
    </w:p>
    <w:p w:rsidR="00431F55" w:rsidRDefault="00431F55" w:rsidP="00431F55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1.1. Раздел   </w:t>
      </w:r>
      <w:r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color w:val="706D6D"/>
        </w:rPr>
        <w:t>Источники и объемы финансирования программы» читать в следующей  редакции</w:t>
      </w:r>
      <w:proofErr w:type="gramStart"/>
      <w:r>
        <w:rPr>
          <w:rFonts w:ascii="Tahoma" w:hAnsi="Tahoma" w:cs="Tahoma"/>
          <w:color w:val="706D6D"/>
        </w:rPr>
        <w:t xml:space="preserve"> :</w:t>
      </w:r>
      <w:proofErr w:type="gramEnd"/>
    </w:p>
    <w:p w:rsidR="00431F55" w:rsidRDefault="00431F55" w:rsidP="00431F55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«Бюджет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(далее - бюджет поселения).</w:t>
      </w:r>
    </w:p>
    <w:p w:rsidR="00431F55" w:rsidRDefault="00431F55" w:rsidP="00431F55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Общий объем финансовых затрат на реализацию программы –  40,5 тыс. руб. из них:</w:t>
      </w:r>
    </w:p>
    <w:p w:rsidR="00431F55" w:rsidRDefault="00431F55" w:rsidP="00431F55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2015 год – 10,5 </w:t>
      </w:r>
      <w:proofErr w:type="spellStart"/>
      <w:r>
        <w:rPr>
          <w:rFonts w:ascii="Tahoma" w:hAnsi="Tahoma" w:cs="Tahoma"/>
          <w:color w:val="706D6D"/>
        </w:rPr>
        <w:t>тыс</w:t>
      </w:r>
      <w:proofErr w:type="gramStart"/>
      <w:r>
        <w:rPr>
          <w:rFonts w:ascii="Tahoma" w:hAnsi="Tahoma" w:cs="Tahoma"/>
          <w:color w:val="706D6D"/>
        </w:rPr>
        <w:t>.р</w:t>
      </w:r>
      <w:proofErr w:type="gramEnd"/>
      <w:r>
        <w:rPr>
          <w:rFonts w:ascii="Tahoma" w:hAnsi="Tahoma" w:cs="Tahoma"/>
          <w:color w:val="706D6D"/>
        </w:rPr>
        <w:t>уб</w:t>
      </w:r>
      <w:proofErr w:type="spellEnd"/>
      <w:r>
        <w:rPr>
          <w:rFonts w:ascii="Tahoma" w:hAnsi="Tahoma" w:cs="Tahoma"/>
          <w:color w:val="706D6D"/>
        </w:rPr>
        <w:t xml:space="preserve">.;   2016 год – 30 </w:t>
      </w:r>
      <w:proofErr w:type="spellStart"/>
      <w:r>
        <w:rPr>
          <w:rFonts w:ascii="Tahoma" w:hAnsi="Tahoma" w:cs="Tahoma"/>
          <w:color w:val="706D6D"/>
        </w:rPr>
        <w:t>тыс.руб</w:t>
      </w:r>
      <w:proofErr w:type="spellEnd"/>
      <w:r>
        <w:rPr>
          <w:rFonts w:ascii="Tahoma" w:hAnsi="Tahoma" w:cs="Tahoma"/>
          <w:color w:val="706D6D"/>
        </w:rPr>
        <w:t>.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Объемы финансирования 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программы»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   2. Внести изменения в 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2010-2017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   2.1. </w:t>
      </w:r>
      <w:proofErr w:type="gramStart"/>
      <w:r>
        <w:rPr>
          <w:color w:val="706D6D"/>
        </w:rPr>
        <w:t>Раздел объемы</w:t>
      </w:r>
      <w:proofErr w:type="gramEnd"/>
      <w:r>
        <w:rPr>
          <w:color w:val="706D6D"/>
        </w:rPr>
        <w:t xml:space="preserve"> и источники  финансирования (2010-2017г.г.) по программе «Чистая вода»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читать в новой редакции  (Приложение № 1).</w:t>
      </w:r>
    </w:p>
    <w:p w:rsidR="00431F55" w:rsidRDefault="00431F55" w:rsidP="00431F55">
      <w:pPr>
        <w:shd w:val="clear" w:color="auto" w:fill="FFFFFF"/>
        <w:spacing w:after="225"/>
        <w:ind w:right="-61"/>
        <w:jc w:val="both"/>
        <w:textAlignment w:val="top"/>
        <w:rPr>
          <w:color w:val="706D6D"/>
        </w:rPr>
      </w:pPr>
      <w:r>
        <w:rPr>
          <w:color w:val="706D6D"/>
        </w:rPr>
        <w:t xml:space="preserve">     3. Внести изменения в муниципальную программу «Модернизация объектов коммунальной инфраструктуры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2011-2015 годы»</w:t>
      </w:r>
    </w:p>
    <w:p w:rsidR="00431F55" w:rsidRDefault="00431F55" w:rsidP="00431F55">
      <w:pPr>
        <w:shd w:val="clear" w:color="auto" w:fill="FFFFFF"/>
        <w:spacing w:after="225"/>
        <w:ind w:right="-18"/>
        <w:jc w:val="both"/>
        <w:textAlignment w:val="top"/>
        <w:rPr>
          <w:color w:val="706D6D"/>
        </w:rPr>
      </w:pPr>
      <w:r>
        <w:rPr>
          <w:color w:val="706D6D"/>
        </w:rPr>
        <w:t>     3.1 раздел </w:t>
      </w:r>
      <w:r>
        <w:rPr>
          <w:color w:val="706D6D"/>
          <w:lang w:val="en-US"/>
        </w:rPr>
        <w:t>VI</w:t>
      </w:r>
      <w:r>
        <w:rPr>
          <w:color w:val="706D6D"/>
        </w:rPr>
        <w:t xml:space="preserve">. «Объемы и источники финансирования (2011-2015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 xml:space="preserve">.) по программе "Модернизация объектов коммунальной инфраструктуры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поссовет"», читать  в следующей редакции    (Приложение 2)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    4. Внести изменения целевую программу «Повышение энергетической эффективности экономики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и сокращение энергетических издержек на 2010-2020 годы»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2010-20120г.г.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    4.1. Раздел   «Перечень основных мероприятий Программы» читать в следующей  редакции (Приложение 3 к постановлению)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5. </w:t>
      </w:r>
      <w:r>
        <w:rPr>
          <w:color w:val="000000"/>
        </w:rPr>
        <w:t>Настоящее постановление подлежит официальному  опубликованию (обнародованию).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Глава 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 С.Е. </w:t>
      </w:r>
      <w:proofErr w:type="spellStart"/>
      <w:r>
        <w:rPr>
          <w:color w:val="706D6D"/>
        </w:rPr>
        <w:t>Ашуркин</w:t>
      </w:r>
      <w:proofErr w:type="spellEnd"/>
    </w:p>
    <w:p w:rsidR="00431F55" w:rsidRDefault="00431F55" w:rsidP="00431F55">
      <w:r>
        <w:rPr>
          <w:rFonts w:ascii="Tahoma" w:hAnsi="Tahoma" w:cs="Tahoma"/>
          <w:color w:val="706D6D"/>
          <w:shd w:val="clear" w:color="auto" w:fill="FFFFFF"/>
        </w:rPr>
        <w:br/>
      </w:r>
    </w:p>
    <w:p w:rsidR="00431F55" w:rsidRDefault="00431F55" w:rsidP="00431F55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431F55" w:rsidRDefault="00431F55" w:rsidP="00431F55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Приложение 1</w:t>
      </w:r>
    </w:p>
    <w:p w:rsidR="00431F55" w:rsidRDefault="00431F55" w:rsidP="00431F55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к Постановлению</w:t>
      </w:r>
    </w:p>
    <w:p w:rsidR="00431F55" w:rsidRDefault="00431F55" w:rsidP="00431F55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от 16.12.2015 года № 177</w:t>
      </w:r>
    </w:p>
    <w:p w:rsidR="00AB2428" w:rsidRDefault="00431F55" w:rsidP="00431F55">
      <w:r w:rsidRPr="00431F55">
        <w:lastRenderedPageBreak/>
        <w:drawing>
          <wp:inline distT="0" distB="0" distL="0" distR="0" wp14:anchorId="29804EE1" wp14:editId="66262797">
            <wp:extent cx="5731510" cy="474502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55" w:rsidRDefault="00431F55" w:rsidP="00431F55">
      <w:r w:rsidRPr="00431F55">
        <w:drawing>
          <wp:inline distT="0" distB="0" distL="0" distR="0" wp14:anchorId="4EEC6919" wp14:editId="3D8F080E">
            <wp:extent cx="5731510" cy="2836975"/>
            <wp:effectExtent l="0" t="0" r="254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55" w:rsidRPr="00431F55" w:rsidRDefault="00431F55" w:rsidP="00431F55">
      <w:pPr>
        <w:shd w:val="clear" w:color="auto" w:fill="FFFFFF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proofErr w:type="spellStart"/>
      <w:r w:rsidRPr="00431F55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>риложение</w:t>
      </w:r>
      <w:proofErr w:type="spellEnd"/>
      <w:r w:rsidRPr="00431F55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 xml:space="preserve"> 2</w:t>
      </w:r>
    </w:p>
    <w:p w:rsidR="00431F55" w:rsidRPr="00431F55" w:rsidRDefault="00431F55" w:rsidP="00431F55">
      <w:pPr>
        <w:shd w:val="clear" w:color="auto" w:fill="FFFFFF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431F55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>к постановлению</w:t>
      </w:r>
    </w:p>
    <w:p w:rsidR="00431F55" w:rsidRPr="00431F55" w:rsidRDefault="00431F55" w:rsidP="00431F55">
      <w:pPr>
        <w:shd w:val="clear" w:color="auto" w:fill="FFFFFF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431F55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>от 16.12.2015года № 177</w:t>
      </w:r>
    </w:p>
    <w:p w:rsidR="00431F55" w:rsidRPr="00431F55" w:rsidRDefault="00431F55" w:rsidP="00431F55">
      <w:pPr>
        <w:shd w:val="clear" w:color="auto" w:fill="FFFFFF"/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431F55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lastRenderedPageBreak/>
        <w:t> </w:t>
      </w:r>
    </w:p>
    <w:tbl>
      <w:tblPr>
        <w:tblW w:w="10095" w:type="dxa"/>
        <w:tblInd w:w="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215"/>
        <w:gridCol w:w="887"/>
        <w:gridCol w:w="1394"/>
        <w:gridCol w:w="1225"/>
        <w:gridCol w:w="316"/>
        <w:gridCol w:w="1653"/>
        <w:gridCol w:w="1641"/>
      </w:tblGrid>
      <w:tr w:rsidR="00431F55" w:rsidRPr="00431F55" w:rsidTr="00431F55">
        <w:trPr>
          <w:trHeight w:val="705"/>
        </w:trPr>
        <w:tc>
          <w:tcPr>
            <w:tcW w:w="1009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431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Объемы и источники финансирования (2011-2015 </w:t>
            </w:r>
            <w:proofErr w:type="spell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по программе "Модернизация объектов коммунальной инфраструктуры на территории муниципального образования </w:t>
            </w:r>
            <w:proofErr w:type="spell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Жемчужненский</w:t>
            </w:r>
            <w:proofErr w:type="spellEnd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поссовет"                                                                         </w:t>
            </w:r>
          </w:p>
        </w:tc>
      </w:tr>
      <w:tr w:rsidR="00431F55" w:rsidRPr="00431F55" w:rsidTr="00431F55">
        <w:trPr>
          <w:trHeight w:val="27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F55" w:rsidRPr="00431F55" w:rsidTr="00431F55">
        <w:trPr>
          <w:trHeight w:val="648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proofErr w:type="gram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proofErr w:type="spellEnd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совых</w:t>
            </w:r>
            <w:proofErr w:type="spellEnd"/>
            <w:proofErr w:type="gramEnd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51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источникам финансирования</w:t>
            </w:r>
          </w:p>
        </w:tc>
      </w:tr>
      <w:tr w:rsidR="00431F55" w:rsidRPr="00431F55" w:rsidTr="00431F55">
        <w:trPr>
          <w:trHeight w:val="16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(млн. руб.)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Республики Хакасия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 </w:t>
            </w:r>
            <w:proofErr w:type="spell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Жемчужненский</w:t>
            </w:r>
            <w:proofErr w:type="spellEnd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</w:tr>
      <w:tr w:rsidR="00431F55" w:rsidRPr="00431F55" w:rsidTr="00431F55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31F55" w:rsidRPr="00431F55" w:rsidTr="00431F55">
        <w:trPr>
          <w:trHeight w:val="33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«Модернизация объектов коммунальной инфраструктуры на территории муниципального образования </w:t>
            </w:r>
            <w:proofErr w:type="spell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Жемчужненский</w:t>
            </w:r>
            <w:proofErr w:type="spellEnd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0,699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435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Капитальный ремонт котельной №1 п. Жемчужный с заменой устаревшего и вышедшего из строя оборудования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435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Капитальный ремонт котельной № 2 п. Колодезный с заменой устаревшего и вышедшего из строя оборудования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555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Замена магистральных сетей теплоснабжения </w:t>
            </w: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 </w:t>
            </w:r>
            <w:proofErr w:type="gram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Колодезный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705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Замена магистральных сетей теплоснабжения п. </w:t>
            </w:r>
            <w:proofErr w:type="gramStart"/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Жемчужный</w:t>
            </w:r>
            <w:proofErr w:type="gramEnd"/>
          </w:p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31F55" w:rsidRPr="00431F55" w:rsidTr="00431F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1F55" w:rsidRPr="00431F55" w:rsidTr="00431F55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Модернизация системы водоотведения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0,699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31F55" w:rsidRPr="00B8500D" w:rsidRDefault="00431F55" w:rsidP="00431F55">
      <w:r w:rsidRPr="00431F55">
        <w:rPr>
          <w:rFonts w:ascii="Tahoma" w:eastAsia="Times New Roman" w:hAnsi="Tahoma" w:cs="Tahoma"/>
          <w:color w:val="706D6D"/>
          <w:sz w:val="20"/>
          <w:szCs w:val="20"/>
          <w:shd w:val="clear" w:color="auto" w:fill="FFFFFF"/>
          <w:lang w:eastAsia="ru-RU"/>
        </w:rPr>
        <w:br/>
      </w:r>
    </w:p>
    <w:tbl>
      <w:tblPr>
        <w:tblW w:w="1825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366"/>
        <w:gridCol w:w="1034"/>
        <w:gridCol w:w="900"/>
        <w:gridCol w:w="700"/>
        <w:gridCol w:w="732"/>
        <w:gridCol w:w="700"/>
        <w:gridCol w:w="668"/>
        <w:gridCol w:w="744"/>
        <w:gridCol w:w="1844"/>
        <w:gridCol w:w="1912"/>
        <w:gridCol w:w="744"/>
        <w:gridCol w:w="1020"/>
        <w:gridCol w:w="4041"/>
        <w:gridCol w:w="6"/>
        <w:gridCol w:w="6"/>
        <w:gridCol w:w="6"/>
        <w:gridCol w:w="6"/>
      </w:tblGrid>
      <w:tr w:rsidR="00431F55" w:rsidRPr="00431F55" w:rsidTr="00431F55">
        <w:trPr>
          <w:gridAfter w:val="8"/>
          <w:wAfter w:w="7741" w:type="dxa"/>
          <w:trHeight w:val="255"/>
        </w:trPr>
        <w:tc>
          <w:tcPr>
            <w:tcW w:w="792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РИЛОЖЕНИЕ 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</w:tr>
      <w:tr w:rsidR="00431F55" w:rsidRPr="00431F55" w:rsidTr="00431F55">
        <w:trPr>
          <w:trHeight w:val="255"/>
        </w:trPr>
        <w:tc>
          <w:tcPr>
            <w:tcW w:w="1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      к Постановлению</w:t>
            </w:r>
          </w:p>
          <w:p w:rsidR="00431F55" w:rsidRPr="00431F55" w:rsidRDefault="00431F55" w:rsidP="00431F5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от 16.12.2015№177</w:t>
            </w:r>
          </w:p>
        </w:tc>
        <w:tc>
          <w:tcPr>
            <w:tcW w:w="406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</w:tr>
      <w:tr w:rsidR="00431F55" w:rsidRPr="00431F55" w:rsidTr="00431F55">
        <w:trPr>
          <w:trHeight w:val="300"/>
        </w:trPr>
        <w:tc>
          <w:tcPr>
            <w:tcW w:w="12426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F55" w:rsidRPr="00431F55" w:rsidRDefault="00431F55" w:rsidP="00431F5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431F55">
              <w:rPr>
                <w:rFonts w:ascii="Times New Roman" w:eastAsia="Times New Roman" w:hAnsi="Times New Roman" w:cs="Times New Roman"/>
                <w:color w:val="706D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F55" w:rsidRPr="00431F55" w:rsidRDefault="00431F55" w:rsidP="0043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1F55" w:rsidRDefault="00431F55" w:rsidP="00431F55">
      <w:r w:rsidRPr="00431F55">
        <w:drawing>
          <wp:inline distT="0" distB="0" distL="0" distR="0" wp14:anchorId="2769B017" wp14:editId="21C357E7">
            <wp:extent cx="5731510" cy="3805086"/>
            <wp:effectExtent l="0" t="0" r="254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55" w:rsidRDefault="00431F55" w:rsidP="00431F55">
      <w:r w:rsidRPr="00431F55">
        <w:lastRenderedPageBreak/>
        <w:drawing>
          <wp:inline distT="0" distB="0" distL="0" distR="0" wp14:anchorId="24EE5C53" wp14:editId="2C6D1359">
            <wp:extent cx="5731510" cy="4069005"/>
            <wp:effectExtent l="0" t="0" r="254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55" w:rsidRPr="00B8500D" w:rsidRDefault="00431F55" w:rsidP="00431F55">
      <w:r w:rsidRPr="00431F55">
        <w:drawing>
          <wp:inline distT="0" distB="0" distL="0" distR="0" wp14:anchorId="71BEC479" wp14:editId="7288FBA4">
            <wp:extent cx="5731510" cy="3112528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2023-08-25T05:02:00Z</dcterms:created>
  <dcterms:modified xsi:type="dcterms:W3CDTF">2023-08-25T05:02:00Z</dcterms:modified>
</cp:coreProperties>
</file>