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проектов схем теплоснабжения поселков Жемчужный и Колодезный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№ 15 от 12.04.2012г.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Администрация 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от 12.04.2012г.              п. Жемчужный                          № 15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496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Об утверждении проектов схем теплоснабжения поселков Жемчужный и Колодезный Ширинского района Республики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В  соответствии  с Федеральным законом от 27.07.2010г. № 190- ФЗ «О теплоснабжении», </w:t>
      </w:r>
      <w:r>
        <w:rPr>
          <w:rFonts w:ascii="times new roman"/>
          <w:color w:val="000000"/>
          <w:sz w:val="26"/>
          <w:rtl w:val="off"/>
          <w:lang w:val="en-US"/>
        </w:rPr>
        <w:t>руководствуясь ст. ст.  8, 40    Устава  муниципального образования  Жемчужненский поссовет,   в   целях  исполнения  Постановления Правительства Российской  Федерации от 22.02.2012 № 154 «О требованиях к схемам теплоснабжения, порядку их разработки и утверждения»жилищно-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 Утвердить проект схемы теплоснабжения пгт. Жемчужный Ширинского района Республики Хакасия  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2. Утвердить проект схемы теплоснабжения п. Колодезный Ширинского района Республики Хакасия  (приложение 2).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 Администрации Жемчужненский поссовет (Арапова Н.Н.):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3.1  </w:t>
      </w:r>
      <w:r>
        <w:rPr>
          <w:rFonts w:ascii="times new roman"/>
          <w:color w:val="000000"/>
          <w:sz w:val="26"/>
          <w:rtl w:val="off"/>
          <w:lang w:val="en-US"/>
        </w:rPr>
        <w:t xml:space="preserve">разместить проекты схем теплоснабжения, на официальном сайте администрации Жемчужненский поссовет в сети «Интернет»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3.2 опубликовать в официальном печатном издании газете «Ширинский вестник» сведения о размещении проекта схемы теплоснабжения на официальном сайте администрации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Жемчужненского поссовета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