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36"/>
          <w:lang w:val="en-US"/>
        </w:rPr>
      </w:pPr>
      <w:r>
        <w:rPr>
          <w:rFonts w:ascii="Segoe UI"/>
          <w:color w:val="000000"/>
          <w:sz w:val="36"/>
          <w:rtl w:val="off"/>
          <w:lang w:val="en-US"/>
        </w:rPr>
        <w:t>ИЗВЕЩЕНИЕ о проведении открытого конкурса по отбору хозяйствующих субъектов на право заключения договора безвозмездного пользования объектом водоотведения КНС 2 А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Segoe UI"/>
          <w:color w:val="000000"/>
          <w:sz w:val="18"/>
          <w:rtl w:val="off"/>
          <w:lang w:val="en-US"/>
        </w:rPr>
        <w:t>ИЗВЕЩЕНИЕ о проведении открытого конкурса</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b/>
          <w:color w:val="000000"/>
          <w:sz w:val="18"/>
          <w:rtl w:val="off"/>
          <w:lang w:val="en-US"/>
        </w:rPr>
        <w:t>ИЗВЕЩЕНИЕ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b/>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283" w:right="0" w:firstLine="504"/>
        <w:jc w:val="center"/>
        <w:rPr>
          <w:rFonts w:ascii="times new roman"/>
          <w:color w:val="000000"/>
          <w:sz w:val="18"/>
          <w:lang w:val="en-US"/>
        </w:rPr>
      </w:pPr>
      <w:r>
        <w:rPr>
          <w:rFonts w:ascii="times new roman"/>
          <w:color w:val="000000"/>
          <w:sz w:val="18"/>
          <w:rtl w:val="off"/>
          <w:lang w:val="en-US"/>
        </w:rPr>
        <w:t>о проведении открытого конкурса по отбору хозяйствующих субъектов на право заключения договора безвозмездного пользования объектом водоотведения КНС 2 А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b/>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18"/>
          <w:lang w:val="en-US"/>
        </w:rPr>
      </w:pPr>
      <w:r>
        <w:rPr>
          <w:rFonts w:ascii="times new roman"/>
          <w:b/>
          <w:color w:val="000000"/>
          <w:sz w:val="18"/>
          <w:rtl w:val="off"/>
          <w:lang w:val="en-US"/>
        </w:rPr>
        <w:t>Основание проведения открытого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xml:space="preserve">              В соответствии с Гражданским кодексом Российской Федерации, Федеральным законом от 26 июля 2006 года № 135-ФЗ «О защите конкуренции», Приказом Федеральной Антимонопольной Службы России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уставом МО Жемчужненский поссовет, Постановлением Главы МО Жемчужненский поссовет от 01 августа 2011 года № __ «О проведении открытого конкурса по отбору хозяйствующих субъектов на право заключения договора безвозмездного пользования  объектом водоотведения КНС 2 А муниципального образования Жемчужненский поссовет Ширинского района Республики Хакасия»</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2880"/>
        <w:gridCol w:w="642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п/п</w:t>
            </w:r>
          </w:p>
        </w:tc>
        <w:tc>
          <w:tcPr>
            <w:cnfStyle w:val="1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Наименование</w:t>
            </w:r>
          </w:p>
        </w:tc>
        <w:tc>
          <w:tcPr>
            <w:cnfStyle w:val="1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Общие сведения об открытом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Форма торгов</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Открытый конкурс</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2.</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Наименование, место нахождения, почтовый адрес, адрес электронной почты и номер контактного телефона организатора конкурса: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Администрация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Место нахождение: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Почтовый адрес</w:t>
            </w:r>
            <w:r>
              <w:rPr>
                <w:rFonts w:ascii="times new roman"/>
                <w:b/>
                <w:color w:val="000000"/>
                <w:sz w:val="18"/>
                <w:rtl w:val="off"/>
                <w:lang w:val="en-US"/>
              </w:rPr>
              <w:t>:</w:t>
            </w:r>
            <w:r>
              <w:rPr>
                <w:rFonts w:ascii="times new roman"/>
                <w:color w:val="000000"/>
                <w:sz w:val="18"/>
                <w:rtl w:val="off"/>
                <w:lang w:val="en-US"/>
              </w:rPr>
              <w:t xml:space="preserve">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rtl w:val="off"/>
                <w:lang w:val="en-US"/>
              </w:rPr>
              <w:t>Е-mail</w:t>
            </w:r>
            <w:r>
              <w:rPr>
                <w:rFonts w:ascii="Segoe UI"/>
                <w:b/>
                <w:color w:val="000000"/>
                <w:sz w:val="18"/>
                <w:rtl w:val="off"/>
                <w:lang w:val="en-US"/>
              </w:rPr>
              <w:t>:</w:t>
            </w:r>
            <w:r>
              <w:rPr>
                <w:rFonts w:ascii="Segoe UI"/>
                <w:color w:val="000000"/>
                <w:sz w:val="18"/>
                <w:rtl w:val="off"/>
                <w:lang w:val="en-US"/>
              </w:rPr>
              <w:t xml:space="preserve"> </w:t>
            </w:r>
            <w:r>
              <w:fldChar w:fldCharType="begin"/>
            </w:r>
            <w:r>
              <w:instrText xml:space="preserve"> HYPERLINK "mailto:zgemchugin@mail.ru" </w:instrText>
            </w:r>
            <w:r>
              <w:fldChar w:fldCharType="separate"/>
            </w:r>
            <w:r>
              <w:rPr>
                <w:rFonts w:ascii="Segoe UI"/>
                <w:color w:val="6d6d6d"/>
                <w:sz w:val="18"/>
                <w:u w:val="single"/>
                <w:rtl w:val="off"/>
                <w:lang w:val="en-US"/>
              </w:rPr>
              <w:t>zgemchugin@mail.ru</w:t>
            </w:r>
            <w:r>
              <w:fldChar w:fldCharType="end"/>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rtl w:val="off"/>
                <w:lang w:val="en-US"/>
              </w:rPr>
              <w:t>Тел./факс</w:t>
            </w:r>
            <w:r>
              <w:rPr>
                <w:rFonts w:ascii="Segoe UI"/>
                <w:b/>
                <w:color w:val="000000"/>
                <w:sz w:val="18"/>
                <w:rtl w:val="off"/>
                <w:lang w:val="en-US"/>
              </w:rPr>
              <w:t>:</w:t>
            </w:r>
            <w:r>
              <w:rPr>
                <w:rFonts w:ascii="Segoe UI"/>
                <w:color w:val="000000"/>
                <w:sz w:val="18"/>
                <w:rtl w:val="off"/>
                <w:lang w:val="en-US"/>
              </w:rPr>
              <w:t xml:space="preserve"> 8 (39035) 9-73-67</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Контактное лицо</w:t>
            </w:r>
            <w:r>
              <w:rPr>
                <w:rFonts w:ascii="times new roman"/>
                <w:b/>
                <w:color w:val="000000"/>
                <w:sz w:val="18"/>
                <w:rtl w:val="off"/>
                <w:lang w:val="en-US"/>
              </w:rPr>
              <w:t xml:space="preserve">: </w:t>
            </w:r>
            <w:r>
              <w:rPr>
                <w:rFonts w:ascii="times new roman"/>
                <w:color w:val="000000"/>
                <w:sz w:val="18"/>
                <w:rtl w:val="off"/>
                <w:lang w:val="en-US"/>
              </w:rPr>
              <w:t>Арапова Наталия Николаевна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3.</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Место расположения, описание и технические характеристики муниципального имущества: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ЛОТ № 1: Согласно приложения №1 к данному извещению.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4.</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Целевое назначение муниципального имущества, права на которое передаются по договору:</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ЛОТ № 1: Оказание услуг по водоотведению на территории п. Колодезный и пгт. Жемчужный муниципального образования Жемчужненский поссовет</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Начальная цена договора: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ЛОТ № 1: не предусмотрена, пользование имуществом является безвозмездным.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6.</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Срок действия договора: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ЛОТ № 1, (пять) лет с момента подписания договора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7.</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Срок, место и порядок предоставления конкурсной документации:</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b w:val="off"/>
                <w:color w:val="000000"/>
                <w:sz w:val="18"/>
                <w:rtl w:val="off"/>
                <w:lang w:val="en-US"/>
              </w:rPr>
              <w:t xml:space="preserve">Конкурсная документация предоставляется по адресу организатора конкурса в рабочие дни с 8-00 час до 17-00 час со дня, следующего за днем размещения на официальном сайте. Официальный сайт размещения конкурсной документации </w:t>
            </w:r>
            <w:r>
              <w:fldChar w:fldCharType="begin"/>
            </w:r>
            <w:r>
              <w:instrText xml:space="preserve"> HYPERLINK "http://www.torgi.gov.ru/" </w:instrText>
            </w:r>
            <w:r>
              <w:fldChar w:fldCharType="separate"/>
            </w:r>
            <w:r>
              <w:rPr>
                <w:rFonts w:ascii="times new roman"/>
                <w:b/>
                <w:color w:val="6d6d6d"/>
                <w:sz w:val="18"/>
                <w:u w:val="single"/>
                <w:rtl w:val="off"/>
                <w:lang w:val="en-US"/>
              </w:rPr>
              <w:t>http://www.torgi.gov.ru</w:t>
            </w:r>
            <w:r>
              <w:fldChar w:fldCharType="end"/>
            </w:r>
            <w:r>
              <w:rPr>
                <w:rFonts w:ascii="times new roman"/>
                <w:b/>
                <w:color w:val="000000"/>
                <w:sz w:val="18"/>
                <w:rtl w:val="off"/>
                <w:lang w:val="en-US"/>
              </w:rPr>
              <w:t xml:space="preserve">. </w:t>
            </w:r>
            <w:r>
              <w:rPr>
                <w:rFonts w:ascii="times new roman"/>
                <w:color w:val="000000"/>
                <w:sz w:val="18"/>
                <w:rtl w:val="off"/>
                <w:lang w:val="en-US"/>
              </w:rPr>
              <w:t>После размещения на официальном сайте  извещения о проведении конкурса организатор конкурса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если указанный запрос поступил к нему не позднее, чем за три рабочих дня до даты окончания срока подачи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8.</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Электронный адрес размещения в сети «Интернет» конкурсной документации</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 xml:space="preserve">Общероссийский официальный сайт: </w:t>
            </w:r>
            <w:r>
              <w:fldChar w:fldCharType="begin"/>
            </w:r>
            <w:r>
              <w:instrText xml:space="preserve"> HYPERLINK "http://www.torgi.gov.ru/" </w:instrText>
            </w:r>
            <w:r>
              <w:fldChar w:fldCharType="separate"/>
            </w:r>
            <w:r>
              <w:rPr>
                <w:rFonts w:ascii="times new roman"/>
                <w:b/>
                <w:color w:val="6d6d6d"/>
                <w:sz w:val="18"/>
                <w:u w:val="single"/>
                <w:rtl w:val="off"/>
                <w:lang w:val="en-US"/>
              </w:rPr>
              <w:t>http://www.torgi.gov.ru</w:t>
            </w:r>
            <w:r>
              <w:fldChar w:fldCharType="end"/>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u w:val="single"/>
                <w:rtl w:val="off"/>
                <w:lang w:val="en-US"/>
              </w:rPr>
              <w:t xml:space="preserve"> </w:t>
            </w:r>
            <w:r>
              <w:rPr>
                <w:rFonts w:ascii="times new roman"/>
                <w:color w:val="000000"/>
                <w:sz w:val="18"/>
                <w:rtl w:val="off"/>
                <w:lang w:val="en-US"/>
              </w:rPr>
              <w:t xml:space="preserve">Официальный сайт муниципального образования Жемчужненский поссовет </w:t>
            </w:r>
            <w:r>
              <w:fldChar w:fldCharType="begin"/>
            </w:r>
            <w:r>
              <w:instrText xml:space="preserve"> HYPERLINK "http://www.torgi.gov.ru/" </w:instrText>
            </w:r>
            <w:r>
              <w:fldChar w:fldCharType="separate"/>
            </w:r>
            <w:r>
              <w:rPr>
                <w:rFonts w:ascii="times new roman"/>
                <w:b/>
                <w:color w:val="6d6d6d"/>
                <w:sz w:val="18"/>
                <w:u w:val="single"/>
                <w:rtl w:val="off"/>
                <w:lang w:val="en-US"/>
              </w:rPr>
              <w:t>http://www.</w:t>
            </w:r>
            <w:r>
              <w:rPr>
                <w:rFonts w:ascii="times new roman"/>
                <w:b w:val="off"/>
                <w:color w:val="000000"/>
                <w:sz w:val="18"/>
                <w:u w:val="single"/>
                <w:rtl w:val="off"/>
                <w:lang w:val="en-US"/>
              </w:rPr>
              <w:t xml:space="preserve"> </w:t>
            </w:r>
            <w:r>
              <w:rPr>
                <w:rFonts w:ascii="times new roman"/>
                <w:b w:val="off"/>
                <w:color w:val="6d6d6d"/>
                <w:sz w:val="18"/>
                <w:u w:val="single"/>
                <w:rtl w:val="off"/>
                <w:lang w:val="en-US"/>
              </w:rPr>
              <w:t>admzgem</w:t>
            </w:r>
            <w:r>
              <w:rPr>
                <w:rFonts w:ascii="times new roman"/>
                <w:b/>
                <w:color w:val="6d6d6d"/>
                <w:sz w:val="18"/>
                <w:u w:val="single"/>
                <w:rtl w:val="off"/>
                <w:lang w:val="en-US"/>
              </w:rPr>
              <w:t>.ru</w:t>
            </w:r>
            <w:r>
              <w:fldChar w:fldCharType="end"/>
            </w:r>
            <w:r>
              <w:rPr>
                <w:rFonts w:ascii="times new roman"/>
                <w:color w:val="000000"/>
                <w:sz w:val="18"/>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u w:val="single"/>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u w:val="single"/>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9.</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Размер, порядок и сроки внесения платы, взимаемой за предоставление конкурсной документации:</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Внесение платы за предоставление конкурсной документации не установлено.</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10</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4"/>
                <w:lang w:val="en-US"/>
              </w:rPr>
            </w:pPr>
            <w:r>
              <w:rPr>
                <w:rFonts w:ascii="times new roman"/>
                <w:b/>
                <w:color w:val="000000"/>
                <w:sz w:val="24"/>
                <w:rtl w:val="off"/>
                <w:lang w:val="en-US"/>
              </w:rPr>
              <w:t>Требования к участникам конкурса: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Заявитель не допускается конкурсной комиссией к участию в конкурсе в случаях: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-непредставления документов, определенных пунктом 9.3. конкурсной документации, либо наличия в таких документах недостоверных сведений;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несоответствия требованиям, указанным в пункте 4.2.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-невнесения задатка, если требование о внесении задатка указано в извещении о проведении конкурса - не предусмотрено заказчиком.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-несоответствия заявки на участие в конкурсе требованиям конкурсной документации;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Отказ в допуске к участию в конкурсе по иным основаниям, кроме случаев, указанных в пункте 5.2 конкурсной документации, не допускается.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В случае установления факта недостоверности сведений, содержащихся в документах, представленных заявителем или участником конкурса в соответствии с пунктом 9.3. конкурсной документации, конкурсная комиссия обязана отстранить такого заявителя или участника конкурса от участия в конкурсе на любом этапе их проведения.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Заявка на участие в конкурсе должна содержать:</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18"/>
                <w:rtl w:val="off"/>
                <w:lang w:val="en-US"/>
              </w:rPr>
              <w:t>Заявка на участие в конкурсе подается в срок и по форме, которая установлена конкурсной документацией.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b/>
                <w:color w:val="000000"/>
                <w:sz w:val="18"/>
                <w:rtl w:val="off"/>
                <w:lang w:val="en-US"/>
              </w:rPr>
              <w:t>Заявка на участие в конкурсе должна содержать следующие сведения: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2.Полученную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3.Документ,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4.Копии учредительных документов заявителя (для юридических лиц);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6.Предложения об условиях исполнения договора, которые являются критериями оценки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12</w:t>
            </w:r>
          </w:p>
        </w:tc>
        <w:tc>
          <w:tcPr>
            <w:cnfStyle w:val="000001000000"/>
            <w:tcW w:w="9300" w:type="dxa"/>
            <w:gridSpan w:val="2"/>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Segoe UI"/>
                <w:color w:val="000000"/>
                <w:sz w:val="18"/>
                <w:lang w:val="en-US"/>
              </w:rPr>
            </w:pPr>
            <w:r>
              <w:rPr>
                <w:rFonts w:ascii="times new roman"/>
                <w:color w:val="000000"/>
                <w:sz w:val="18"/>
                <w:rtl w:val="off"/>
                <w:lang w:val="en-US"/>
              </w:rPr>
              <w:t>Критерии оценки заявок на участие в конкурсе: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xml:space="preserve"> </w:t>
            </w:r>
          </w:p>
        </w:tc>
        <w:tc>
          <w:tcPr>
            <w:cnfStyle w:val="000001000000"/>
            <w:tcW w:w="9300" w:type="dxa"/>
            <w:gridSpan w:val="2"/>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both"/>
              <w:rPr>
                <w:rFonts w:ascii="Segoe UI"/>
                <w:color w:val="000000"/>
                <w:sz w:val="18"/>
                <w:lang w:val="en-US"/>
              </w:rPr>
            </w:pPr>
            <w:r>
              <w:rPr>
                <w:rFonts w:ascii="times new roman"/>
                <w:color w:val="000000"/>
                <w:sz w:val="18"/>
                <w:rtl w:val="off"/>
                <w:lang w:val="en-US"/>
              </w:rPr>
              <w:t>Для определения лучших условий заключения договора безвозмездного пользования муниципального имущества, предложенных в конкурсных предложениях участников, конкурсная комиссия оценивает и сопоставляет такие предложения в соответствии с критериями конкурса, указанными в конкурсной документации по каждому лоту.</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2880"/>
              <w:gridCol w:w="6420"/>
              <w:gridCol w:w="435"/>
              <w:gridCol w:w="396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п/п</w:t>
                  </w:r>
                </w:p>
              </w:tc>
              <w:tc>
                <w:tcPr>
                  <w:cnfStyle w:val="1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Критерий конкурса</w:t>
                  </w:r>
                </w:p>
              </w:tc>
              <w:tc>
                <w:tcPr>
                  <w:cnfStyle w:val="1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Начальное значение критерия конкурса</w:t>
                  </w:r>
                </w:p>
              </w:tc>
              <w:tc>
                <w:tcPr>
                  <w:cnfStyle w:val="1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Требование к изменению начального значения критерия конкурса</w:t>
                  </w:r>
                </w:p>
              </w:tc>
              <w:tc>
                <w:tcPr>
                  <w:cnfStyle w:val="1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Коэффициент учитывающий значение критерия конкурса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Предложение о снижении величины стоимости услуг   относительно утвержденных на 2011 г. тарифов, для территории муниципального образования Жемчужненский поссовет (предлагаемая стоимость)</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Тариф утвержденный на 2011 год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Лот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Водоотведение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9,19 руб/м3</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понижение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0,2</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Снижение расходов на эксплуатацию безвозмездно полученных объектов.  Ремонтный фонд.   Тыс. руб./год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i/>
                      <w:color w:val="000000"/>
                      <w:sz w:val="18"/>
                      <w:rtl w:val="off"/>
                      <w:lang w:val="en-US"/>
                    </w:rPr>
                    <w:t>(Участник прикладывает  обоснованное Предложение об указанной цене относительно утвержденного  тарифа)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ff0000"/>
                      <w:sz w:val="18"/>
                      <w:rtl w:val="off"/>
                      <w:lang w:val="en-US"/>
                    </w:rPr>
                    <w:t xml:space="preserve"> </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Запланированная сумма в бюджете на 2011 год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Лот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10 тыс.руб</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понижение</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0,2</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Наличие инвестиционной программы с предложениями по</w:t>
                  </w:r>
                  <w:r>
                    <w:rPr>
                      <w:rFonts w:ascii="times new roman"/>
                      <w:b/>
                      <w:color w:val="000000"/>
                      <w:sz w:val="18"/>
                      <w:rtl w:val="off"/>
                      <w:lang w:val="en-US"/>
                    </w:rPr>
                    <w:t xml:space="preserve"> </w:t>
                  </w:r>
                  <w:r>
                    <w:rPr>
                      <w:rFonts w:ascii="times new roman"/>
                      <w:color w:val="000000"/>
                      <w:sz w:val="18"/>
                      <w:rtl w:val="off"/>
                      <w:lang w:val="en-US"/>
                    </w:rPr>
                    <w:t>улучшению состояния объекта торгов (модернизация, ремонт, обустройство) и обязательство по содержанию присоединенных тепловых сетей к объектам торгов (ремонт, модернизация)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i/>
                      <w:color w:val="000000"/>
                      <w:sz w:val="18"/>
                      <w:rtl w:val="off"/>
                      <w:lang w:val="en-US"/>
                    </w:rPr>
                    <w:t xml:space="preserve"> (Прикладывается  Инвестиционная программа, разработанная Участником)</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Сумма планируемых инвестиций и собственных средств предприятия на содержание объектов и присоединенных сетей</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повышение</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0,2</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Участие в ведомственных целевых программах развития и модернизации объектов жилищно-коммунального хозяйства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w:t>
                  </w:r>
                  <w:r>
                    <w:rPr>
                      <w:rFonts w:ascii="times new roman"/>
                      <w:i/>
                      <w:color w:val="000000"/>
                      <w:sz w:val="18"/>
                      <w:rtl w:val="off"/>
                      <w:lang w:val="en-US"/>
                    </w:rPr>
                    <w:t>Участник прикладывает обоснованное Предложение участия в программах)</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Планируемая сумма средств, в том числе средства предприятия на софинансирование</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Повышение</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0,2</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 xml:space="preserve">Наличие производственной программы  на 2011-2012гг </w:t>
                  </w:r>
                  <w:r>
                    <w:rPr>
                      <w:rFonts w:ascii="times new roman"/>
                      <w:i/>
                      <w:color w:val="000000"/>
                      <w:sz w:val="18"/>
                      <w:rtl w:val="off"/>
                      <w:lang w:val="en-US"/>
                    </w:rPr>
                    <w:t>(Прикладывается  Производственная программа, разработанная Участником)</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Планируемый предельный рост тарифов по годам</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Понижение</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0,2</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18"/>
                      <w:lang w:val="en-US"/>
                    </w:rPr>
                  </w:pPr>
                  <w:r>
                    <w:rPr>
                      <w:rFonts w:ascii="times new roman"/>
                      <w:color w:val="000000"/>
                      <w:sz w:val="18"/>
                      <w:rtl w:val="off"/>
                      <w:lang w:val="en-US"/>
                    </w:rPr>
                    <w:t>Итого</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43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10000000"/>
                  <w:tcW w:w="39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13.</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b/>
                <w:color w:val="000000"/>
                <w:sz w:val="24"/>
                <w:rtl w:val="off"/>
                <w:lang w:val="en-US"/>
              </w:rPr>
              <w:t>Порядок, место и срок начала и окончания подачи заявок и</w:t>
            </w:r>
            <w:r>
              <w:rPr>
                <w:rFonts w:ascii="times new roman"/>
                <w:color w:val="000000"/>
                <w:sz w:val="24"/>
                <w:rtl w:val="off"/>
                <w:lang w:val="en-US"/>
              </w:rPr>
              <w:t xml:space="preserve"> </w:t>
            </w:r>
            <w:r>
              <w:rPr>
                <w:rFonts w:ascii="times new roman"/>
                <w:b/>
                <w:color w:val="000000"/>
                <w:sz w:val="24"/>
                <w:rtl w:val="off"/>
                <w:lang w:val="en-US"/>
              </w:rPr>
              <w:t>конкурсных предложений</w:t>
            </w:r>
            <w:r>
              <w:rPr>
                <w:rFonts w:ascii="times new roman"/>
                <w:b/>
                <w:color w:val="000000"/>
                <w:sz w:val="24"/>
                <w:rtl w:val="off"/>
                <w:lang w:val="en-US"/>
              </w:rPr>
              <w:t xml:space="preserve">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xml:space="preserve"> </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Заявка на участие в конкурсе подается по каждому лоту отдельно в срок и по форме, которая установлена конкурсной документацией.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Место подачи: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4"/>
                <w:lang w:val="en-US"/>
              </w:rPr>
            </w:pPr>
            <w:r>
              <w:rPr>
                <w:rFonts w:ascii="times new roman"/>
                <w:color w:val="000000"/>
                <w:sz w:val="24"/>
                <w:rtl w:val="off"/>
                <w:lang w:val="en-US"/>
              </w:rPr>
              <w:t>Дата начала подачи заявок и конкурсных предложений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4"/>
                <w:lang w:val="en-US"/>
              </w:rPr>
            </w:pPr>
            <w:r>
              <w:rPr>
                <w:rFonts w:ascii="times new roman"/>
                <w:color w:val="ff0000"/>
                <w:sz w:val="24"/>
                <w:rtl w:val="off"/>
                <w:lang w:val="en-US"/>
              </w:rPr>
              <w:t>с 06 августа 2011 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24"/>
                <w:rtl w:val="off"/>
                <w:lang w:val="en-US"/>
              </w:rPr>
              <w:t>Дата окончания подачи заявок и конкурсных предложений на участие в конкурсе</w:t>
            </w:r>
            <w:r>
              <w:rPr>
                <w:rFonts w:ascii="times new roman"/>
                <w:color w:val="000000"/>
                <w:sz w:val="24"/>
                <w:rtl w:val="off"/>
                <w:lang w:val="en-US"/>
              </w:rPr>
              <w:t>:</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4"/>
                <w:lang w:val="en-US"/>
              </w:rPr>
            </w:pPr>
            <w:r>
              <w:rPr>
                <w:rFonts w:ascii="times new roman"/>
                <w:color w:val="ff0000"/>
                <w:sz w:val="24"/>
                <w:rtl w:val="off"/>
                <w:lang w:val="en-US"/>
              </w:rPr>
              <w:t>05 сентября 2011 г. до 10 часов 00 мин. (время местное)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left"/>
              <w:rPr>
                <w:rFonts w:ascii="times new roman"/>
                <w:color w:val="000000"/>
                <w:sz w:val="18"/>
                <w:lang w:val="en-US"/>
              </w:rPr>
            </w:pPr>
            <w:r>
              <w:rPr>
                <w:rFonts w:ascii="times new roman"/>
                <w:color w:val="000000"/>
                <w:sz w:val="18"/>
                <w:rtl w:val="off"/>
                <w:lang w:val="en-US"/>
              </w:rPr>
              <w:t>Приём заявок на участие в конкурсе  заканчивается  в день вскрытия конвертов с конкурсными заявками.</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14.</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color w:val="000000"/>
                <w:sz w:val="18"/>
                <w:rtl w:val="off"/>
                <w:lang w:val="en-US"/>
              </w:rPr>
              <w:t>Место, дата и время вскрытия конвертов с заявками</w:t>
            </w:r>
            <w:r>
              <w:rPr>
                <w:rFonts w:ascii="times new roman"/>
                <w:b/>
                <w:color w:val="000000"/>
                <w:sz w:val="18"/>
                <w:rtl w:val="off"/>
                <w:lang w:val="en-US"/>
              </w:rPr>
              <w:t xml:space="preserve"> </w:t>
            </w:r>
            <w:r>
              <w:rPr>
                <w:rFonts w:ascii="times new roman"/>
                <w:color w:val="000000"/>
                <w:sz w:val="18"/>
                <w:rtl w:val="off"/>
                <w:lang w:val="en-US"/>
              </w:rPr>
              <w:t>и</w:t>
            </w:r>
            <w:r>
              <w:rPr>
                <w:rFonts w:ascii="times new roman"/>
                <w:b/>
                <w:color w:val="000000"/>
                <w:sz w:val="18"/>
                <w:rtl w:val="off"/>
                <w:lang w:val="en-US"/>
              </w:rPr>
              <w:t xml:space="preserve"> </w:t>
            </w:r>
            <w:r>
              <w:rPr>
                <w:rFonts w:ascii="times new roman"/>
                <w:color w:val="000000"/>
                <w:sz w:val="18"/>
                <w:rtl w:val="off"/>
                <w:lang w:val="en-US"/>
              </w:rPr>
              <w:t>конкурсных предложений на участие в конкурсе:</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Место вскрытия конвертов: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b/>
                <w:color w:val="000000"/>
                <w:sz w:val="18"/>
                <w:rtl w:val="off"/>
                <w:lang w:val="en-US"/>
              </w:rPr>
              <w:t>Дата и время вскрытия конвертов с заявками и конкурсных предложений на участие в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Segoe UI"/>
                <w:color w:val="000000"/>
                <w:sz w:val="18"/>
                <w:lang w:val="en-US"/>
              </w:rPr>
            </w:pPr>
            <w:r>
              <w:rPr>
                <w:rFonts w:ascii="times new roman"/>
                <w:b/>
                <w:color w:val="ff0000"/>
                <w:sz w:val="18"/>
                <w:rtl w:val="off"/>
                <w:lang w:val="en-US"/>
              </w:rPr>
              <w:t>05 сентября 2011 г. в 10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Дата рассмотрения заявок на участие в конкурсе:</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Место рассмотрения заявок: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Дата рассмотрения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b/>
                <w:color w:val="ff0000"/>
                <w:sz w:val="18"/>
                <w:rtl w:val="off"/>
                <w:lang w:val="en-US"/>
              </w:rPr>
              <w:t>06 сентября 2011 г. в 10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15.</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Дата оценки и сопоставления  заявок:</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Место оценки и сопоставления  заявок: 655220, Республика Хакасия, Ширинский район, пгт. Жемчужный, ул.Аптечная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color w:val="000000"/>
                <w:sz w:val="18"/>
                <w:rtl w:val="off"/>
                <w:lang w:val="en-US"/>
              </w:rPr>
              <w:t>Дата оценки и сопоставления таких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times new roman"/>
                <w:b/>
                <w:color w:val="ff0000"/>
                <w:sz w:val="18"/>
                <w:rtl w:val="off"/>
                <w:lang w:val="en-US"/>
              </w:rPr>
              <w:t>06 сентября 2011г. в 14 часов 00 мин (время местное)</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17.</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51" w:after="0" w:line="240" w:lineRule="auto"/>
              <w:ind w:left="0" w:right="0" w:firstLine="0"/>
              <w:jc w:val="both"/>
              <w:rPr>
                <w:rFonts w:ascii="times new roman"/>
                <w:color w:val="000000"/>
                <w:sz w:val="18"/>
                <w:lang w:val="en-US"/>
              </w:rPr>
            </w:pPr>
            <w:r>
              <w:rPr>
                <w:rFonts w:ascii="times new roman"/>
                <w:color w:val="000000"/>
                <w:sz w:val="18"/>
                <w:rtl w:val="off"/>
                <w:lang w:val="en-US"/>
              </w:rPr>
              <w:t>Размер задатка, вносимого в качестве обеспечения заявки организатором конкурса: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Не предусмотрено.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xml:space="preserve"> </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18.</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Срок подписания договоров:</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Победитель конкурса в течение 10 дней со дня подписания протокола о результатах проведения конкурса заключает с организатором конкурса договор безвозмездного пользования</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19.</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Размер обеспечения исполнения обязательств по договору:</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Не предусмотрено</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20</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Срок, в течение которого организатор конкурса вправе отказаться от проведения конкурса: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 xml:space="preserve">Организатор конкурса вправе отказаться от проведения конкурса не позднее чем за тридцать дней до даты окончания срока подачи заявок на участие в конкурсе. Извещение об отказе от проведения конкурса размещается на Общероссийском официальном сайте: </w:t>
            </w:r>
            <w:r>
              <w:rPr>
                <w:rFonts w:ascii="times new roman"/>
                <w:color w:val="000000"/>
                <w:sz w:val="18"/>
                <w:u w:val="single"/>
                <w:rtl w:val="off"/>
                <w:lang w:val="en-US"/>
              </w:rPr>
              <w:t xml:space="preserve">www </w:t>
            </w:r>
            <w:r>
              <w:rPr>
                <w:rFonts w:ascii="times new roman"/>
                <w:color w:val="000000"/>
                <w:sz w:val="18"/>
                <w:u w:val="single"/>
                <w:rtl w:val="off"/>
                <w:lang w:val="en-US"/>
              </w:rPr>
              <w:t>torgi.</w:t>
            </w:r>
            <w:r>
              <w:rPr>
                <w:rFonts w:ascii="times new roman"/>
                <w:color w:val="000000"/>
                <w:sz w:val="18"/>
                <w:u w:val="single"/>
                <w:rtl w:val="off"/>
                <w:lang w:val="en-US"/>
              </w:rPr>
              <w:t>gov.</w:t>
            </w:r>
            <w:r>
              <w:rPr>
                <w:rFonts w:ascii="times new roman"/>
                <w:color w:val="000000"/>
                <w:sz w:val="18"/>
                <w:u w:val="single"/>
                <w:rtl w:val="off"/>
                <w:lang w:val="en-US"/>
              </w:rPr>
              <w:t xml:space="preserve">ru </w:t>
            </w:r>
            <w:r>
              <w:rPr>
                <w:rFonts w:ascii="times new roman"/>
                <w:color w:val="000000"/>
                <w:sz w:val="18"/>
                <w:rtl w:val="off"/>
                <w:lang w:val="en-US"/>
              </w:rPr>
              <w:t xml:space="preserve"> в течение одного дня с даты принятия решения об отказе от проведения конкурса.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21</w:t>
            </w:r>
          </w:p>
        </w:tc>
        <w:tc>
          <w:tcPr>
            <w:cnfStyle w:val="000001000000"/>
            <w:tcW w:w="288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Дата, время, график проведения осмотра имущества:</w:t>
            </w:r>
          </w:p>
        </w:tc>
        <w:tc>
          <w:tcPr>
            <w:cnfStyle w:val="000010000000"/>
            <w:tcW w:w="642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График проведения осмотра имущества (приложения № 3) к конкурсной документации.</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18"/>
          <w:lang w:val="en-US"/>
        </w:rPr>
      </w:pPr>
      <w:r>
        <w:rPr>
          <w:rFonts w:ascii="times new roman"/>
          <w:color w:val="000000"/>
          <w:sz w:val="18"/>
          <w:rtl w:val="off"/>
          <w:lang w:val="en-US"/>
        </w:rPr>
        <w:t>Приложение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Перечень имущества, передаваемого по договору безвозмездного пользования объектом водоотведения КНС 2 А(ЛОТ № 1)</w:t>
      </w:r>
    </w:p>
    <w:tbl>
      <w:tblPr>
        <w:bidiVisual w:val="off"/>
        <w:tblW w:w="0" w:type="auto"/>
        <w:jc w:val="lef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 w:type="dxa"/>
          <w:left w:w="10" w:type="dxa"/>
          <w:bottom w:w="10" w:type="dxa"/>
          <w:right w:w="10" w:type="dxa"/>
        </w:tblCellMar>
      </w:tblPr>
      <w:tblGrid>
        <w:gridCol w:w="540"/>
        <w:gridCol w:w="3660"/>
        <w:gridCol w:w="1485"/>
        <w:gridCol w:w="4230"/>
      </w:tblGrid>
      <w:tr>
        <w:trPr>
          <w:wBefore w:w="0" w:type="dxa"/>
          <w:jc w:val="left"/>
        </w:trPr>
        <w:tc>
          <w:tcPr>
            <w:cnfStyle w:val="1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п/п</w:t>
            </w:r>
          </w:p>
        </w:tc>
        <w:tc>
          <w:tcPr>
            <w:cnfStyle w:val="1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Наименование объекта</w:t>
            </w:r>
          </w:p>
        </w:tc>
        <w:tc>
          <w:tcPr>
            <w:cnfStyle w:val="1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Балансовая стоимость (тыс. руб.)</w:t>
            </w:r>
          </w:p>
        </w:tc>
        <w:tc>
          <w:tcPr>
            <w:cnfStyle w:val="1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Место нахождения имущества</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1</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Здание КНС 2 А, производительностью 2100 м3/сут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71655,32</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территория МО Жемчужненский поссовет</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Щит автоматики</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территория МО Жемчужненский поссовет</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Канализационные насосы Grundfos S2.90.200.1600.4705.S.480.6.N.D  3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территория МО Жемчужненский поссовет</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Тельфер – 2 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территория МО Жемчужненский поссовет</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Магистральный напорный коллектор от КНС 2А до самотечного коллектора</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территория МО Жемчужненский поссовет</w:t>
            </w:r>
          </w:p>
        </w:tc>
      </w:tr>
      <w:tr>
        <w:trPr>
          <w:wBefore w:w="0" w:type="dxa"/>
          <w:jc w:val="left"/>
        </w:trPr>
        <w:tc>
          <w:tcPr>
            <w:cnfStyle w:val="000010000000"/>
            <w:tcW w:w="54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 xml:space="preserve"> </w:t>
            </w:r>
          </w:p>
        </w:tc>
        <w:tc>
          <w:tcPr>
            <w:cnfStyle w:val="000001000000"/>
            <w:tcW w:w="366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Щит ввода – 2шт</w:t>
            </w:r>
          </w:p>
        </w:tc>
        <w:tc>
          <w:tcPr>
            <w:cnfStyle w:val="000010000000"/>
            <w:tcW w:w="1485"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18"/>
                <w:lang w:val="en-US"/>
              </w:rPr>
            </w:pPr>
            <w:r>
              <w:rPr>
                <w:rFonts w:ascii="times new roman"/>
                <w:color w:val="000000"/>
                <w:sz w:val="18"/>
                <w:rtl w:val="off"/>
                <w:lang w:val="en-US"/>
              </w:rPr>
              <w:t>-</w:t>
            </w:r>
          </w:p>
        </w:tc>
        <w:tc>
          <w:tcPr>
            <w:cnfStyle w:val="000001000000"/>
            <w:tcW w:w="4230" w:type="dxa"/>
            <w:tcBorders>
              <w:top w:val="single" w:color="000000" w:sz="6" w:space="0"/>
              <w:left w:val="single" w:color="000000" w:sz="6" w:space="0"/>
              <w:bottom w:val="single" w:color="000000" w:sz="6" w:space="0"/>
              <w:right w:val="single" w:color="000000" w:sz="6" w:space="0"/>
            </w:tcBorders>
            <w:vAlign w:val="top"/>
          </w:tcPr>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Республика Хакасия, Ширинский район, территория МО Жемчужненский поссовет</w:t>
            </w:r>
          </w:p>
        </w:tc>
      </w:tr>
    </w:tbl>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ahoma" w:cs="Tahoma" w:hAnsi="Tahoma"/>
        </w:rPr>
      </w:pPr>
    </w:p>
    <w:sectPr>
      <w:footnote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amp;quot;">
    <w:charset w:val="00"/>
  </w:font>
  <w:font w:name="verdana">
    <w:charset w:val="00"/>
  </w:font>
  <w:font w:name="times new roman">
    <w:charset w:val="0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abstractNum w:abstractNumId="1"/>
  <w:abstractNum w:abstractNumId="2"/>
  <w:abstractNum w:abstractNumId="3"/>
  <w:abstractNum w:abstractNumId="4"/>
  <w:abstractNum w:abstractNumId="5"/>
  <w:abstractNum w:abstractNumId="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8"/>
  <w:abstractNum w:abstractNumId="9"/>
  <w:abstractNum w:abstractNumId="10"/>
  <w:abstractNum w:abstractNumId="11"/>
  <w:abstractNum w:abstractNumId="12"/>
  <w:abstractNum w:abstractNumId="13"/>
  <w:abstractNum w:abstractNumId="14"/>
  <w:abstractNum w:abstractNumId="15"/>
  <w:abstractNum w:abstractNumId="16"/>
  <w:abstractNum w:abstractNumId="17"/>
  <w:abstractNum w:abstractNumId="18"/>
  <w:abstractNum w:abstractNumId="19">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0"/>
  <w:abstractNum w:abstractNumId="21"/>
  <w:abstractNum w:abstractNumId="22"/>
  <w:abstractNum w:abstractNumId="23"/>
  <w:abstractNum w:abstractNumId="24"/>
  <w:abstractNum w:abstractNumId="25"/>
  <w:abstractNum w:abstractNumId="2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27"/>
  <w:abstractNum w:abstractNumId="28"/>
  <w:abstractNum w:abstractNumId="29"/>
  <w:abstractNum w:abstractNumId="30"/>
  <w:abstractNum w:abstractNumId="31"/>
  <w:abstractNum w:abstractNumId="32"/>
  <w:abstractNum w:abstractNumId="33">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4"/>
  <w:abstractNum w:abstractNumId="35"/>
  <w:abstractNum w:abstractNumId="36">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7">
    <w:multiLevelType w:val="hybridMultilevel"/>
    <w:lvl w:ilvl="0" w:tentative="1">
      <w:start w:val="1"/>
      <w:numFmt w:val="decimal"/>
      <w:suff w:val="tab"/>
      <w:lvlText w:val="%1."/>
      <w:lvlJc w:val="left"/>
      <w:pPr>
        <w:ind w:left="720" w:hanging="360"/>
      </w:pPr>
      <w:rPr/>
    </w:lvl>
    <w:lvl w:ilvl="1" w:tentative="1">
      <w:start w:val="1"/>
      <w:numFmt w:val="decimal"/>
      <w:suff w:val="tab"/>
      <w:lvlText w:val="%2."/>
      <w:lvlJc w:val="left"/>
      <w:pPr>
        <w:ind w:left="1440" w:hanging="360"/>
      </w:pPr>
      <w:rPr/>
    </w:lvl>
    <w:lvl w:ilvl="2" w:tentative="1">
      <w:start w:val="1"/>
      <w:numFmt w:val="decimal"/>
      <w:suff w:val="tab"/>
      <w:lvlText w:val="%3."/>
      <w:lvlJc w:val="left"/>
      <w:pPr>
        <w:ind w:left="2160" w:hanging="360"/>
      </w:pPr>
      <w:rPr/>
    </w:lvl>
    <w:lvl w:ilvl="3" w:tentative="1">
      <w:start w:val="1"/>
      <w:numFmt w:val="decimal"/>
      <w:suff w:val="tab"/>
      <w:lvlText w:val="%4."/>
      <w:lvlJc w:val="left"/>
      <w:pPr>
        <w:ind w:left="2880" w:hanging="360"/>
      </w:pPr>
      <w:rPr/>
    </w:lvl>
    <w:lvl w:ilvl="4" w:tentative="1">
      <w:start w:val="1"/>
      <w:numFmt w:val="decimal"/>
      <w:suff w:val="tab"/>
      <w:lvlText w:val="%5."/>
      <w:lvlJc w:val="left"/>
      <w:pPr>
        <w:ind w:left="3600" w:hanging="360"/>
      </w:pPr>
      <w:rPr/>
    </w:lvl>
    <w:lvl w:ilvl="5" w:tentative="1">
      <w:start w:val="1"/>
      <w:numFmt w:val="decimal"/>
      <w:suff w:val="tab"/>
      <w:lvlText w:val="%6."/>
      <w:lvlJc w:val="left"/>
      <w:pPr>
        <w:ind w:left="4320" w:hanging="360"/>
      </w:pPr>
      <w:rPr/>
    </w:lvl>
    <w:lvl w:ilvl="6" w:tentative="1">
      <w:start w:val="1"/>
      <w:numFmt w:val="decimal"/>
      <w:suff w:val="tab"/>
      <w:lvlText w:val="%7."/>
      <w:lvlJc w:val="left"/>
      <w:pPr>
        <w:ind w:left="5040" w:hanging="360"/>
      </w:pPr>
      <w:rPr/>
    </w:lvl>
    <w:lvl w:ilvl="7" w:tentative="1">
      <w:start w:val="1"/>
      <w:numFmt w:val="decimal"/>
      <w:suff w:val="tab"/>
      <w:lvlText w:val="%8."/>
      <w:lvlJc w:val="left"/>
      <w:pPr>
        <w:ind w:left="5760" w:hanging="360"/>
      </w:pPr>
      <w:rPr/>
    </w:lvl>
    <w:lvl w:ilvl="8" w:tentative="1">
      <w:start w:val="1"/>
      <w:numFmt w:val="decimal"/>
      <w:suff w:val="tab"/>
      <w:lvlText w:val="%9."/>
      <w:lvlJc w:val="left"/>
      <w:pPr>
        <w:ind w:left="6480" w:hanging="360"/>
      </w:pPr>
      <w:rPr/>
    </w:lvl>
  </w:abstractNum>
  <w:abstractNum w:abstractNumId="38"/>
  <w:abstractNum w:abstractNumId="39"/>
  <w:abstractNum w:abstractNumId="40"/>
  <w:abstractNum w:abstractNumId="41"/>
  <w:abstractNum w:abstractNumId="42"/>
  <w:abstractNum w:abstractNumId="43"/>
  <w:abstractNum w:abstractNumId="44"/>
  <w:abstractNum w:abstractNumId="45"/>
  <w:abstractNum w:abstractNumId="46"/>
  <w:abstractNum w:abstractNumId="47"/>
  <w:abstractNum w:abstractNumId="48"/>
  <w:abstractNum w:abstractNumId="49"/>
  <w:abstractNum w:abstractNumId="50"/>
  <w:abstractNum w:abstractNumId="51"/>
  <w:abstractNum w:abstractNumId="52"/>
  <w:num w:numId="1">
    <w:abstractNumId w:val="0"/>
    <w:lvlOverride w:ilvl="0">
      <w:lvl w:ilvl="0" w:tentative="1">
        <w:numFmt w:val="bullet"/>
        <w:suff w:val="tab"/>
        <w:lvlText w:val="1."/>
        <w:rPr/>
      </w:lvl>
    </w:lvlOverride>
  </w:num>
  <w:num w:numId="2">
    <w:abstractNumId w:val="1"/>
    <w:lvlOverride w:ilvl="0">
      <w:lvl w:ilvl="0" w:tentative="1">
        <w:numFmt w:val="bullet"/>
        <w:suff w:val="tab"/>
        <w:lvlText w:val="2."/>
        <w:rPr/>
      </w:lvl>
    </w:lvlOverride>
  </w:num>
  <w:num w:numId="3">
    <w:abstractNumId w:val="2"/>
    <w:lvlOverride w:ilvl="0">
      <w:lvl w:ilvl="0" w:tentative="1">
        <w:numFmt w:val="bullet"/>
        <w:suff w:val="tab"/>
        <w:lvlText w:val="3."/>
        <w:rPr/>
      </w:lvl>
    </w:lvlOverride>
  </w:num>
  <w:num w:numId="4">
    <w:abstractNumId w:val="3"/>
    <w:lvlOverride w:ilvl="0">
      <w:lvl w:ilvl="0" w:tentative="1">
        <w:numFmt w:val="bullet"/>
        <w:suff w:val="tab"/>
        <w:lvlText w:val="4."/>
        <w:rPr/>
      </w:lvl>
    </w:lvlOverride>
  </w:num>
  <w:num w:numId="5">
    <w:abstractNumId w:val="4"/>
    <w:lvlOverride w:ilvl="0">
      <w:lvl w:ilvl="0" w:tentative="1">
        <w:numFmt w:val="bullet"/>
        <w:suff w:val="tab"/>
        <w:lvlText w:val="5."/>
        <w:rPr/>
      </w:lvl>
    </w:lvlOverride>
  </w:num>
  <w:num w:numId="6">
    <w:abstractNumId w:val="5"/>
    <w:lvlOverride w:ilvl="0">
      <w:lvl w:ilvl="0" w:tentative="1">
        <w:numFmt w:val="bullet"/>
        <w:suff w:val="tab"/>
        <w:lvlText w:val="6."/>
        <w:rPr/>
      </w:lvl>
    </w:lvlOverride>
  </w:num>
  <w:num w:numId="7">
    <w:abstractNumId w:val="6"/>
  </w:num>
  <w:num w:numId="8">
    <w:abstractNumId w:val="7"/>
  </w:num>
  <w:num w:numId="9">
    <w:abstractNumId w:val="8"/>
    <w:lvlOverride w:ilvl="0">
      <w:lvl w:ilvl="0" w:tentative="1">
        <w:numFmt w:val="bullet"/>
        <w:suff w:val="tab"/>
        <w:lvlText w:val="1."/>
        <w:rPr/>
      </w:lvl>
    </w:lvlOverride>
  </w:num>
  <w:num w:numId="10">
    <w:abstractNumId w:val="9"/>
    <w:lvlOverride w:ilvl="0">
      <w:lvl w:ilvl="0" w:tentative="1">
        <w:numFmt w:val="bullet"/>
        <w:suff w:val="tab"/>
        <w:lvlText w:val="2."/>
        <w:rPr/>
      </w:lvl>
    </w:lvlOverride>
  </w:num>
  <w:num w:numId="11">
    <w:abstractNumId w:val="10"/>
    <w:lvlOverride w:ilvl="0">
      <w:lvl w:ilvl="0" w:tentative="1">
        <w:numFmt w:val="bullet"/>
        <w:suff w:val="tab"/>
        <w:lvlText w:val="3."/>
        <w:rPr/>
      </w:lvl>
    </w:lvlOverride>
  </w:num>
  <w:num w:numId="12">
    <w:abstractNumId w:val="11"/>
    <w:lvlOverride w:ilvl="0">
      <w:lvl w:ilvl="0" w:tentative="1">
        <w:numFmt w:val="bullet"/>
        <w:suff w:val="tab"/>
        <w:lvlText w:val="4."/>
        <w:rPr/>
      </w:lvl>
    </w:lvlOverride>
  </w:num>
  <w:num w:numId="13">
    <w:abstractNumId w:val="12"/>
    <w:lvlOverride w:ilvl="0">
      <w:lvl w:ilvl="0" w:tentative="1">
        <w:numFmt w:val="bullet"/>
        <w:suff w:val="tab"/>
        <w:lvlText w:val="5."/>
        <w:rPr/>
      </w:lvl>
    </w:lvlOverride>
  </w:num>
  <w:num w:numId="14">
    <w:abstractNumId w:val="13"/>
    <w:lvlOverride w:ilvl="0">
      <w:lvl w:ilvl="0" w:tentative="1">
        <w:numFmt w:val="bullet"/>
        <w:suff w:val="tab"/>
        <w:lvlText w:val="6."/>
        <w:rPr/>
      </w:lvl>
    </w:lvlOverride>
  </w:num>
  <w:num w:numId="15">
    <w:abstractNumId w:val="14"/>
    <w:lvlOverride w:ilvl="0">
      <w:lvl w:ilvl="0" w:tentative="1">
        <w:numFmt w:val="bullet"/>
        <w:suff w:val="tab"/>
        <w:lvlText w:val="1."/>
        <w:rPr/>
      </w:lvl>
    </w:lvlOverride>
  </w:num>
  <w:num w:numId="16">
    <w:abstractNumId w:val="15"/>
    <w:lvlOverride w:ilvl="0">
      <w:lvl w:ilvl="0" w:tentative="1">
        <w:numFmt w:val="bullet"/>
        <w:suff w:val="tab"/>
        <w:lvlText w:val="2."/>
        <w:rPr/>
      </w:lvl>
    </w:lvlOverride>
  </w:num>
  <w:num w:numId="17">
    <w:abstractNumId w:val="16"/>
    <w:lvlOverride w:ilvl="0">
      <w:lvl w:ilvl="0" w:tentative="1">
        <w:numFmt w:val="bullet"/>
        <w:suff w:val="tab"/>
        <w:lvlText w:val="3."/>
        <w:rPr/>
      </w:lvl>
    </w:lvlOverride>
  </w:num>
  <w:num w:numId="18">
    <w:abstractNumId w:val="17"/>
    <w:lvlOverride w:ilvl="0">
      <w:lvl w:ilvl="0" w:tentative="1">
        <w:numFmt w:val="bullet"/>
        <w:suff w:val="tab"/>
        <w:lvlText w:val="4."/>
        <w:rPr/>
      </w:lvl>
    </w:lvlOverride>
  </w:num>
  <w:num w:numId="19">
    <w:abstractNumId w:val="18"/>
    <w:lvlOverride w:ilvl="0">
      <w:lvl w:ilvl="0" w:tentative="1">
        <w:numFmt w:val="bullet"/>
        <w:suff w:val="tab"/>
        <w:lvlText w:val="5."/>
        <w:rPr/>
      </w:lvl>
    </w:lvlOverride>
  </w:num>
  <w:num w:numId="20">
    <w:abstractNumId w:val="19"/>
  </w:num>
  <w:num w:numId="21">
    <w:abstractNumId w:val="20"/>
    <w:lvlOverride w:ilvl="0">
      <w:lvl w:ilvl="0" w:tentative="1">
        <w:numFmt w:val="bullet"/>
        <w:suff w:val="tab"/>
        <w:lvlText w:val="1."/>
        <w:rPr/>
      </w:lvl>
    </w:lvlOverride>
  </w:num>
  <w:num w:numId="22">
    <w:abstractNumId w:val="21"/>
    <w:lvlOverride w:ilvl="0">
      <w:lvl w:ilvl="0" w:tentative="1">
        <w:numFmt w:val="bullet"/>
        <w:suff w:val="tab"/>
        <w:lvlText w:val="2."/>
        <w:rPr/>
      </w:lvl>
    </w:lvlOverride>
  </w:num>
  <w:num w:numId="23">
    <w:abstractNumId w:val="22"/>
    <w:lvlOverride w:ilvl="0">
      <w:lvl w:ilvl="0" w:tentative="1">
        <w:numFmt w:val="bullet"/>
        <w:suff w:val="tab"/>
        <w:lvlText w:val="3."/>
        <w:rPr/>
      </w:lvl>
    </w:lvlOverride>
  </w:num>
  <w:num w:numId="24">
    <w:abstractNumId w:val="23"/>
    <w:lvlOverride w:ilvl="0">
      <w:lvl w:ilvl="0" w:tentative="1">
        <w:numFmt w:val="bullet"/>
        <w:suff w:val="tab"/>
        <w:lvlText w:val="4."/>
        <w:rPr/>
      </w:lvl>
    </w:lvlOverride>
  </w:num>
  <w:num w:numId="25">
    <w:abstractNumId w:val="24"/>
    <w:lvlOverride w:ilvl="0">
      <w:lvl w:ilvl="0" w:tentative="1">
        <w:numFmt w:val="bullet"/>
        <w:suff w:val="tab"/>
        <w:lvlText w:val="5."/>
        <w:rPr/>
      </w:lvl>
    </w:lvlOverride>
  </w:num>
  <w:num w:numId="26">
    <w:abstractNumId w:val="25"/>
    <w:lvlOverride w:ilvl="0">
      <w:lvl w:ilvl="0" w:tentative="1">
        <w:numFmt w:val="bullet"/>
        <w:suff w:val="tab"/>
        <w:lvlText w:val="6."/>
        <w:rPr/>
      </w:lvl>
    </w:lvlOverride>
  </w:num>
  <w:num w:numId="27">
    <w:abstractNumId w:val="26"/>
  </w:num>
  <w:num w:numId="28">
    <w:abstractNumId w:val="27"/>
    <w:lvlOverride w:ilvl="0">
      <w:lvl w:ilvl="0" w:tentative="1">
        <w:numFmt w:val="bullet"/>
        <w:suff w:val="tab"/>
        <w:lvlText w:val="1."/>
        <w:rPr/>
      </w:lvl>
    </w:lvlOverride>
  </w:num>
  <w:num w:numId="29">
    <w:abstractNumId w:val="28"/>
    <w:lvlOverride w:ilvl="0">
      <w:lvl w:ilvl="0" w:tentative="1">
        <w:numFmt w:val="bullet"/>
        <w:suff w:val="tab"/>
        <w:lvlText w:val="2."/>
        <w:rPr/>
      </w:lvl>
    </w:lvlOverride>
  </w:num>
  <w:num w:numId="30">
    <w:abstractNumId w:val="29"/>
    <w:lvlOverride w:ilvl="0">
      <w:lvl w:ilvl="0" w:tentative="1">
        <w:numFmt w:val="bullet"/>
        <w:suff w:val="tab"/>
        <w:lvlText w:val="3."/>
        <w:rPr/>
      </w:lvl>
    </w:lvlOverride>
  </w:num>
  <w:num w:numId="31">
    <w:abstractNumId w:val="30"/>
    <w:lvlOverride w:ilvl="0">
      <w:lvl w:ilvl="0" w:tentative="1">
        <w:numFmt w:val="bullet"/>
        <w:suff w:val="tab"/>
        <w:lvlText w:val="4."/>
        <w:rPr/>
      </w:lvl>
    </w:lvlOverride>
  </w:num>
  <w:num w:numId="32">
    <w:abstractNumId w:val="31"/>
    <w:lvlOverride w:ilvl="0">
      <w:lvl w:ilvl="0" w:tentative="1">
        <w:numFmt w:val="bullet"/>
        <w:suff w:val="tab"/>
        <w:lvlText w:val="5."/>
        <w:rPr/>
      </w:lvl>
    </w:lvlOverride>
  </w:num>
  <w:num w:numId="33">
    <w:abstractNumId w:val="32"/>
    <w:lvlOverride w:ilvl="0">
      <w:lvl w:ilvl="0" w:tentative="1">
        <w:numFmt w:val="bullet"/>
        <w:suff w:val="tab"/>
        <w:lvlText w:val="6."/>
        <w:rPr/>
      </w:lvl>
    </w:lvlOverride>
  </w:num>
  <w:num w:numId="34">
    <w:abstractNumId w:val="33"/>
  </w:num>
  <w:num w:numId="35">
    <w:abstractNumId w:val="34"/>
    <w:lvlOverride w:ilvl="0">
      <w:lvl w:ilvl="0" w:tentative="1">
        <w:numFmt w:val="bullet"/>
        <w:suff w:val="tab"/>
        <w:lvlText w:val="1."/>
        <w:rPr/>
      </w:lvl>
    </w:lvlOverride>
  </w:num>
  <w:num w:numId="36">
    <w:abstractNumId w:val="35"/>
    <w:lvlOverride w:ilvl="0">
      <w:lvl w:ilvl="0" w:tentative="1">
        <w:numFmt w:val="bullet"/>
        <w:suff w:val="tab"/>
        <w:lvlText w:val="2."/>
        <w:rPr/>
      </w:lvl>
    </w:lvlOverride>
  </w:num>
  <w:num w:numId="37">
    <w:abstractNumId w:val="36"/>
  </w:num>
  <w:num w:numId="38">
    <w:abstractNumId w:val="37"/>
  </w:num>
  <w:num w:numId="39">
    <w:abstractNumId w:val="38"/>
    <w:lvlOverride w:ilvl="0">
      <w:lvl w:ilvl="0" w:tentative="1">
        <w:numFmt w:val="bullet"/>
        <w:suff w:val="tab"/>
        <w:lvlText w:val="1."/>
        <w:rPr/>
      </w:lvl>
    </w:lvlOverride>
  </w:num>
  <w:num w:numId="40">
    <w:abstractNumId w:val="39"/>
    <w:lvlOverride w:ilvl="0">
      <w:lvl w:ilvl="0" w:tentative="1">
        <w:numFmt w:val="bullet"/>
        <w:suff w:val="tab"/>
        <w:lvlText w:val="2."/>
        <w:rPr/>
      </w:lvl>
    </w:lvlOverride>
  </w:num>
  <w:num w:numId="41">
    <w:abstractNumId w:val="40"/>
    <w:lvlOverride w:ilvl="0">
      <w:lvl w:ilvl="0" w:tentative="1">
        <w:numFmt w:val="bullet"/>
        <w:suff w:val="tab"/>
        <w:lvlText w:val="3."/>
        <w:rPr/>
      </w:lvl>
    </w:lvlOverride>
  </w:num>
  <w:num w:numId="42">
    <w:abstractNumId w:val="41"/>
    <w:lvlOverride w:ilvl="0">
      <w:lvl w:ilvl="0" w:tentative="1">
        <w:numFmt w:val="bullet"/>
        <w:suff w:val="tab"/>
        <w:lvlText w:val="4."/>
        <w:rPr/>
      </w:lvl>
    </w:lvlOverride>
  </w:num>
  <w:num w:numId="43">
    <w:abstractNumId w:val="42"/>
    <w:lvlOverride w:ilvl="0">
      <w:lvl w:ilvl="0" w:tentative="1">
        <w:numFmt w:val="bullet"/>
        <w:suff w:val="tab"/>
        <w:lvlText w:val="5."/>
        <w:rPr/>
      </w:lvl>
    </w:lvlOverride>
  </w:num>
  <w:num w:numId="44">
    <w:abstractNumId w:val="43"/>
    <w:lvlOverride w:ilvl="0">
      <w:lvl w:ilvl="0" w:tentative="1">
        <w:numFmt w:val="bullet"/>
        <w:suff w:val="tab"/>
        <w:lvlText w:val="6."/>
        <w:rPr/>
      </w:lvl>
    </w:lvlOverride>
  </w:num>
  <w:num w:numId="45">
    <w:abstractNumId w:val="44"/>
    <w:lvlOverride w:ilvl="0">
      <w:lvl w:ilvl="0" w:tentative="1">
        <w:numFmt w:val="bullet"/>
        <w:suff w:val="tab"/>
        <w:lvlText w:val="7."/>
        <w:rPr/>
      </w:lvl>
    </w:lvlOverride>
  </w:num>
  <w:num w:numId="46">
    <w:abstractNumId w:val="45"/>
    <w:lvlOverride w:ilvl="0">
      <w:lvl w:ilvl="0" w:tentative="1">
        <w:numFmt w:val="bullet"/>
        <w:suff w:val="tab"/>
        <w:lvlText w:val="8."/>
        <w:rPr/>
      </w:lvl>
    </w:lvlOverride>
  </w:num>
  <w:num w:numId="47">
    <w:abstractNumId w:val="46"/>
    <w:lvlOverride w:ilvl="0">
      <w:lvl w:ilvl="0" w:tentative="1">
        <w:numFmt w:val="bullet"/>
        <w:suff w:val="tab"/>
        <w:lvlText w:val="9."/>
        <w:rPr/>
      </w:lvl>
    </w:lvlOverride>
  </w:num>
  <w:num w:numId="48">
    <w:abstractNumId w:val="47"/>
    <w:lvlOverride w:ilvl="0">
      <w:lvl w:ilvl="0" w:tentative="1">
        <w:numFmt w:val="bullet"/>
        <w:suff w:val="tab"/>
        <w:lvlText w:val="1."/>
        <w:rPr/>
      </w:lvl>
    </w:lvlOverride>
  </w:num>
  <w:num w:numId="49">
    <w:abstractNumId w:val="48"/>
    <w:lvlOverride w:ilvl="0">
      <w:lvl w:ilvl="0" w:tentative="1">
        <w:numFmt w:val="bullet"/>
        <w:suff w:val="tab"/>
        <w:lvlText w:val="2."/>
        <w:rPr/>
      </w:lvl>
    </w:lvlOverride>
  </w:num>
  <w:num w:numId="50">
    <w:abstractNumId w:val="49"/>
    <w:lvlOverride w:ilvl="0">
      <w:lvl w:ilvl="0" w:tentative="1">
        <w:numFmt w:val="bullet"/>
        <w:suff w:val="tab"/>
        <w:lvlText w:val="3."/>
        <w:rPr/>
      </w:lvl>
    </w:lvlOverride>
  </w:num>
  <w:num w:numId="51">
    <w:abstractNumId w:val="50"/>
    <w:lvlOverride w:ilvl="0">
      <w:lvl w:ilvl="0" w:tentative="1">
        <w:numFmt w:val="bullet"/>
        <w:suff w:val="tab"/>
        <w:lvlText w:val="4."/>
        <w:rPr/>
      </w:lvl>
    </w:lvlOverride>
  </w:num>
  <w:num w:numId="52">
    <w:abstractNumId w:val="51"/>
    <w:lvlOverride w:ilvl="0">
      <w:lvl w:ilvl="0" w:tentative="1">
        <w:numFmt w:val="bullet"/>
        <w:suff w:val="tab"/>
        <w:lvlText w:val="1."/>
        <w:rPr/>
      </w:lvl>
    </w:lvlOverride>
  </w:num>
  <w:num w:numId="53">
    <w:abstractNumId w:val="52"/>
    <w:lvlOverride w:ilvl="0">
      <w:lvl w:ilvl="0" w:tentative="1">
        <w:numFmt w:val="bullet"/>
        <w:suff w:val="tab"/>
        <w:lvlText w:val="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trackRevisions w:val="off"/>
  <w:compat>
    <w:compatSetting w:name="compatibilityMode" w:uri="http://schemas.microsoft.com/office/word" w:val="14"/>
  </w:compat>
  <w:footnotePr/>
  <w:endnotePr/>
  <w:themeFontLang w:val="en-US"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