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ИНФОРМАЦИОННОЕ СООБЩЕНИЕ (ИЗВЕЩЕНИЕ) Администрация муниципального образования Жемчужненский поссовет сообщает о проведении 26 мая 2011 года в 11.00 час. Аукциона № 01/11, открытого по составу участников и по форме подачи предложений, по приватизации муниципального имущества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Аукцион 01/11 (продажа объектов энергоснабжения)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</w:t>
      </w:r>
      <w:r>
        <w:rPr>
          <w:rFonts w:ascii="times new roman"/>
          <w:b/>
          <w:color w:val="000000"/>
          <w:sz w:val="24"/>
          <w:rtl w:val="off"/>
          <w:lang w:val="en-US"/>
        </w:rPr>
        <w:t>ИНФОРМАЦИОННОЕ  СООБЩЕНИЕ (ИЗВЕЩЕНИЕ)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4"/>
          <w:rtl w:val="off"/>
          <w:lang w:val="en-US"/>
        </w:rPr>
        <w:t>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4"/>
          <w:rtl w:val="off"/>
          <w:lang w:val="en-US"/>
        </w:rPr>
        <w:t>сообщает о проведении 26 мая 2011 года в 11.00 час. Аукциона № 01/11, открытого по составу участников и по форме подачи предложений, по приватизации муниципального имущества</w:t>
      </w:r>
    </w:p>
    <w:tbl>
      <w:tblPr>
        <w:bidiVisual w:val="off"/>
        <w:tblW w:w="0" w:type="auto"/>
        <w:jc w:val="lef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705"/>
        <w:gridCol w:w="5940"/>
      </w:tblGrid>
      <w:tr>
        <w:trPr>
          <w:wBefore w:w="0" w:type="dxa"/>
          <w:jc w:val="left"/>
        </w:trPr>
        <w:tc>
          <w:tcPr>
            <w:cnfStyle w:val="1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Наименование органа местного самоуправления;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реквизиты решения об условиях приватизации имущества</w:t>
            </w:r>
          </w:p>
        </w:tc>
        <w:tc>
          <w:tcPr>
            <w:cnfStyle w:val="1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Администрация муниципального образования Жемчужненский поссовет;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Решение Совета депутатов муниципального образования Жемчужненский поссовет  № 22 от 11.06.2009г. «Об утверждении положения о порядке приватизации муниципального имущества»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Способ приватизации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Открытый аукцион.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Наименование имущества и иные позволяющие его индивидуализировать  данные (характеристика имущества)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i/>
                <w:color w:val="000000"/>
                <w:sz w:val="24"/>
                <w:rtl w:val="off"/>
                <w:lang w:val="en-US"/>
              </w:rPr>
              <w:t xml:space="preserve">Лот № 1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-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ВЛ- 0,4 кВ фидер 2 от опоры 15 протяженность 167,62 м инв.№ 163-34-1С, литер Л1, адрес: Республика Хакасия, Ширинский район, п. Колодезный,  ул. Гагарина оценочная стоимость – 38810,00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    - Земельный участок, категория земель: земли населенных пунктов, разрешенное использование: для размещения объектов энергетики, общая площадь 13 кв.м, адрес: Республика Хакасия, Ширинский район, территория муниципального образования Жемчужненский поссовет, пгт. Жемчужный, ул.Майская, ВЛ-0,4кВ ф №2 от опоры №15, кадастровый № 19:11:990101:390 кадастровая стоимость -  2557,75 рублей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Начальная цена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41367,75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(Сто тринадцать тысяч) рублей. (с НДС)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Условия поставки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Передача имущества осуществляется в пгт. Жемчужный, Ширинского района, РХ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Шаг аукциона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5% от объявленной начальной цены, который остается неизменным на протяжении всего аукциона и составляет 2068,39  (Пять тысяч шестьсот пятьдесят)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Размер задатка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10% от объявленной начальной цены продажи в сумме 4136,78  (Одиннадцать тысяч триста)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Наименование имущества и иные позволяющие его индивидуализировать  данные (характеристика имущества)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i/>
                <w:color w:val="000000"/>
                <w:sz w:val="24"/>
                <w:rtl w:val="off"/>
                <w:lang w:val="en-US"/>
              </w:rPr>
              <w:t xml:space="preserve">Лот № 2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 -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ВЛ-04 кВ от ТП 72-15-05 фидер №2 от опоры № 5 протяженность 187,5 м инв.№ 162-34-1С, литер Л2, адрес: Республика Хакасия, Ширинский район, п. Колодезный,  ул. Курортная опоры 5-9, оценочная стоимость – 39795,00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 - Земельный участок, категория земель: земли населенных пунктов, разрешенное использование: для размещения объектов энергетики, общая площадь 3 кв.м, адрес: Республика Хакасия, Ширинский район, территория муниципального образования Жемчужненский поссовет, п. Колодезный, ул.Курортная, от опоры 5-9, кадастровый № 19:11:020204:92, кадастровая стоимость – 609,96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- Земельный участок, категория земель: земли населенных пунктов, разрешенное использование: для размещения объектов энергетики, общая площадь 4 кв.м, адрес: Республика Хакасия, Ширинский район, территория муниципального образования Жемчужненский поссовет, п. Колодезный, ул.Курортная, ВЛ-0,4 кВ от ТП 72-15-05 ф №2 до опоры №5, кадастровый № 19:11:020204:91, кадастровая стоимость – 813,28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Начальная цена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41218,24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(Шестьдесят три тысячи) рублей. (с НДС)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Условия поставки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Передача имущества осуществляется в пгт. Жемчужный, Ширинского района, РХ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Шаг аукциона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5% от объявленной начальной цены, который остается неизменным на протяжении всего аукциона и составляет 2060,91  (Три тысячи сто пятьдесят)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Размер задатка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10% от объявленной начальной цены продажи в сумме 4121,82  (Шесть тысяч триста)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Наименование имущества и иные позволяющие его индивидуализировать  данные (характеристика имущества)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i/>
                <w:color w:val="000000"/>
                <w:sz w:val="24"/>
                <w:rtl w:val="off"/>
                <w:lang w:val="en-US"/>
              </w:rPr>
              <w:t xml:space="preserve">Лот № 3 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- </w:t>
            </w: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ВЛ- 0,4 кВ от ТП 72-03-01, протяженность 233,89м инв.№ 164-34-1С, литер Л3, адрес: Республика Хакасия, Ширинский район, пос. Колодезный,  микрорайон опоры 1-6, оценочная стоимость – 54154,00рублей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     - Земельный участок, категория земель: земли населенных пунктов, разрешенное использование: для размещения объектов энергетики, общая площадь 10 кв.м, адрес: Республика Хакасия, Ширинский район, территория муниципального образования Жемчужненский поссовет, п. Колодезный, микрорайон ВЛ-0,4 кВ от ТП 72-03-01 ф №2 до опоры №5, кадастровый № 19:11:020209:108, кадастровая стоимость – 2033,20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       - Земельный участок, категория земель: земли населенных пунктов, разрешенное использование: для размещения объектов энергетики, общая площадь 3 кв.м, адрес: Республика Хакасия, Ширинский район, территория муниципального образования Жемчужненский поссовет, п. Колодезный, микрорайон от опоры 1-6, кадастровый № 19:11:020209:113, кадастровая стоимость – 609,96 рублей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Начальная цена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56797,16 (Восемьдесят девять тысяч) рублей. (с НДС)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Условия поставки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Передача имущества осуществляется в пгт. Жемчужный, Ширинского района, РХ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Шаг аукциона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5% от объявленной начальной цены, который остается неизменным на протяжении всего аукциона и составляет 2839,86  (Четыре тысячи четыреста пятьдесят)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Размер задатка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10% от объявленной начальной цены продажи в сумме 5679,72  (Восемь тысяч девятьсот) рублей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Форма подачи предложения о цене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Предложения заявляются открыто в ходе проведения торгов путем поднятия карточки.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Условия и сроки платежа, необходимые реквизиты счетов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ИНН 1911006471 КПП 191101001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УФК по Республике Хакасия (Администрация муниципального образования Жемчужненский поссовет)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р/с 4010181020000001001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БИК 049514001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ГРКЦ НБ Республики Хакасия Банка России г.Абакан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КБК 111 114 02033 10 0000 410.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Порядок, место, даты начала и окончания подачи заявок (предложений)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прием заявок проводится с 29 апреля 2011г. по адресу: Ширинский район, п.Жемчужный, ул. Аптечная,1, в рабочие дни с 08.00 до 17.00 (обед с 13.00 до 14.00). Последний день приема заявок 25 мая 2011г. до 17.00. Телефон для справок (39035) 9-73-67, 9-71-36.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Исчерпывающий перечень представляемых покупателями документов и требования к их оформлению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- заявку на участие в аукционе с указанием реквизитов и счета для возврата задатка;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- квитанцию об оплате задатка или платежного поручение с отметкой банка плательщика;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- (для физических лиц):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документ удостоверяющий личность;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- (для юридических лиц):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нотариально заверенные копии учредительных документов;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сведения о доле Российской Федерации, субъекта Российской Федерации, муниципального образования в уставном капитале юридического лица;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- опись представленных документов, подписанную претендентом.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Срок заключения договора купли-продажи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 течение 10 дней с даты подведения итогов аукциона.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Порядок ознакомления покупателей с иной информацией, в том числе с отчетом об оценке имущества, условия договора купли-продажи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Предоставление дополнительной информации по адресу: РХ, Ширинский район, п.Жемчужный, ул. Аптечная,1, в рабочие дни с 08.00 до 17.00 (обед с13.00 до14.00). с 29 апреля 2011г. и прекращается 17.00 час. 25 мая 2011г. Телефон для справок (39035) 9-73-67, 9-71-36.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Порядок определения победителей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Победителем признается покупатель, предложивший в ходе торгов наиболее высокую цену.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Срок и порядок внесения задатка, необходимые реквизиты счетов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10% от объявленной начальной цены продажи на расчетный счет продавца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ИНН 1911006471 КПП 191101001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УФК по Республике Хакасия (Администрация муниципального образования Жемчужненский поссовет л/с 05803000880) р/с 40302810600953000059 БИК 049514001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1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ГРКЦ НБ Республики Хакасия Банка России г.Абакан КБК 111 114 02033 10 0000 410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ОКАТО – 95235555000, до истечения срока подачи заявок.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Место и срок подведения итогов аукциона</w:t>
            </w:r>
          </w:p>
        </w:tc>
        <w:tc>
          <w:tcPr>
            <w:cnfStyle w:val="000001000000"/>
            <w:tcW w:w="5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both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Аукцион и подведение итогов аукциона состоится 26 мая 2011г. Начало в  11 часов 00 минут (время местное), по адресу: РХ, Ширинский район, п.Жемчужный, ул. Аптечная,1, администрация муниципального образования Жемчужненский поссовет.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 МО Жемчужненский поссовет                                            С.Е.Ашуркин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