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ИНФОРМАЦИОННОЕ СООБЩЕНИЕ 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ИНФОРМАЦИОННОЕ СООБЩЕНИЕ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Назначить проведение публичных слушаний по вопросу о предоставлении разрешения на условно разрешенный вид использования земельных участков, расположенных по адресу: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1.1 - Республика Хакасия, Ширинский район, Республика Хакасия, Ширинский район,  п. Колодезный, микрорайон, 3А , общей площадью 70 кв. 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-киоски, лоточная торговля, временные павильоны розничной торговли и обслуживания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Дата проведения публичных слушаний: 16.02.2018 г. в 09-00 часов в п. Жемчужный в здании администрации МО Жемчужненский сельсовет, расположенного по адресу: Республика Хакасия, Ширинский район, п. Жемчужный, ул. Аптечная, д.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3. Получатель письменных отзывов, замечаний и предложений по вышеуказанному вопросу: Переверзева Т.А.., адрес: п. Жемчужный, ул. Аптечная, д. 1.  администрация МО Жемчужненский сельсовет, конт телефон: 8(39035)9-72-55. Режим работы с 08:00 до 17:00, перерыв на обед с 13:00 до 14:00.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Секретарь организационной комиссии                                Т.А. Переверзева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