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программы «Комплексного развития систем коммунальной инфраструктуры муниципального образования Жемчужненский поссовет на 2012 – 2015 годы»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22.12.2011г. № 82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от 22.12.2011 г.                                  п.Жемчужный                             № 82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5102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Об утверждении </w:t>
      </w:r>
      <w:r>
        <w:rPr>
          <w:rFonts w:ascii="times new roman&amp;quot;"/>
          <w:color w:val="000000"/>
          <w:sz w:val="26"/>
          <w:rtl w:val="off"/>
          <w:lang w:val="en-US"/>
        </w:rPr>
        <w:t>программы «Комплексного развития систем коммунальной инфраструктуры муниципального образования Жемчужненский поссовет на 2012 – 2015 годы»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8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Руководствуясь Федеральным Законом от 6 октября 2003г. № 131-ФЗ «Об общих принципах организации местного самоуправления в Российской Федерации», Федеральным законом от 30.12.2004 № 210-ФЗ «Об основах регулирования тарифов организаций коммунального комплекса», в целях обеспечения  развития коммунальных систем  и объектов в соответствии с потребностями  жилищного  и  промышленного  строительства, повышение качества производимых  для  потребителей коммунальных услуг, улучшение экологической ситуации, руководствуясь ст. 28 Устава муниципального образования Жемчужненский поссовет Ширинского района, Совет депутатов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1.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&amp;quot;"/>
          <w:color w:val="000000"/>
          <w:sz w:val="26"/>
          <w:rtl w:val="off"/>
          <w:lang w:val="en-US"/>
        </w:rPr>
        <w:t>Утвердить и принять программу «Комплексного развития систем коммунальной инфраструктуры муниципального образования Жемчужненский поссовет на 2012 – 2015 годы»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2.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&amp;quot;"/>
          <w:color w:val="000000"/>
          <w:sz w:val="26"/>
          <w:rtl w:val="off"/>
          <w:lang w:val="en-US"/>
        </w:rPr>
        <w:t>Главному бухгалтеру администрации муниципального образования Жемчужненский поссовет предусмотреть расходы на реализацию данной программы, при условии софинансирования мероприятий программы из бюджета Республики Хакасия и наличия средств в бюджете муниципального образования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3.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&amp;quot;"/>
          <w:color w:val="000000"/>
          <w:sz w:val="26"/>
          <w:rtl w:val="off"/>
          <w:lang w:val="en-US"/>
        </w:rPr>
        <w:t>Настоящее решение вступает в силу со дня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Жемчужненский поссовет                                                           С.Е. 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