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аукциона в электронной форме на замену оборудования на котельной №1 п.Колодезный при проведении работ по капитальному ремонту котельной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02.08.2012 № 46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02.08.2012 г.                     п. Жемчужный                                      № 46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проведении  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форме на замену оборудования на котельной №1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п.Колодезный при проведении работ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68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 капитальному ремонту котельной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Руководствуясь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Утвердить аукционную документацию открытого аукциона в электронной форме на замену оборудования на котельной №1 п.Колодезный при проведении работ по капитальному ремонту котельной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2. Единой комиссии при проведении открытого аукциона в электронной форме на замену оборудования на котельной №1 п.Колодезный при проведении работ по капитальному ремонту котельной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3.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поссовета                                                                   С.Е.Ашуркин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