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и дополнений в Устав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24.12.2018 № 24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от 24.12.2018 г.                                     п.Жемчужный                                            № 24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и дополнений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Устав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сельсовет Ширинского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в Устав муниципального образования Жемчужненский сельсовет Ширинского района Республики Хакасия, принятый решением Совета депутатов Жемчужненского сельсовета Ширинского района Республики Хакасия от 22.07.2013      № 65 (в редакции решения от 28.04.2014 № 17, 30.03.2015 № 11, 02.12.2015 № 23, 09.08.2016 № 24, 31.05.2017 № 13, 16.02.2018 № 02),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1) </w:t>
      </w:r>
      <w:r>
        <w:rPr>
          <w:rFonts w:ascii="tahoma"/>
          <w:b/>
          <w:color w:val="000000"/>
          <w:sz w:val="20"/>
          <w:rtl w:val="off"/>
          <w:lang w:val="en-US"/>
        </w:rPr>
        <w:t>абзац первый части 4 статьи 4.</w:t>
      </w:r>
      <w:r>
        <w:rPr>
          <w:rFonts w:ascii="tahoma"/>
          <w:color w:val="000000"/>
          <w:sz w:val="20"/>
          <w:rtl w:val="off"/>
          <w:lang w:val="en-US"/>
        </w:rPr>
        <w:t xml:space="preserve"> после слов «опубликованием муниципального правового акта» дополнить словами «, соглашения, заключенного между органами местного самоуправления,», после слов «обнародованием муниципального правового акта» дополнить словами «, соглашения, заключенного между органами местного самоуправления,»;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2) </w:t>
      </w:r>
      <w:r>
        <w:rPr>
          <w:rFonts w:ascii="tahoma"/>
          <w:b/>
          <w:color w:val="000000"/>
          <w:sz w:val="20"/>
          <w:rtl w:val="off"/>
          <w:lang w:val="en-US"/>
        </w:rPr>
        <w:t>пункт 15 части 1 статьи 7.</w:t>
      </w:r>
      <w:r>
        <w:rPr>
          <w:rFonts w:ascii="tahoma"/>
          <w:color w:val="000000"/>
          <w:sz w:val="20"/>
          <w:rtl w:val="off"/>
          <w:lang w:val="en-US"/>
        </w:rPr>
        <w:t xml:space="preserve">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3) </w:t>
      </w:r>
      <w:r>
        <w:rPr>
          <w:rFonts w:ascii="tahoma"/>
          <w:b/>
          <w:color w:val="000000"/>
          <w:sz w:val="20"/>
          <w:rtl w:val="off"/>
          <w:lang w:val="en-US"/>
        </w:rPr>
        <w:t>пункт 23 части 1 статьи 7.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4) </w:t>
      </w:r>
      <w:r>
        <w:rPr>
          <w:rFonts w:ascii="tahoma"/>
          <w:b/>
          <w:color w:val="000000"/>
          <w:sz w:val="20"/>
          <w:rtl w:val="off"/>
          <w:lang w:val="en-US"/>
        </w:rPr>
        <w:t>пункт 11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части 1 статьи 8. </w:t>
      </w:r>
      <w:r>
        <w:rPr>
          <w:rFonts w:ascii="tahoma"/>
          <w:color w:val="000000"/>
          <w:sz w:val="20"/>
          <w:rtl w:val="off"/>
          <w:lang w:val="en-US"/>
        </w:rPr>
        <w:t>признать утратившим силу;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5) </w:t>
      </w:r>
      <w:r>
        <w:rPr>
          <w:rFonts w:ascii="tahoma"/>
          <w:b/>
          <w:color w:val="000000"/>
          <w:sz w:val="20"/>
          <w:rtl w:val="off"/>
          <w:lang w:val="en-US"/>
        </w:rPr>
        <w:t>часть 1 статьи 8. дополнить пунктом 16</w:t>
      </w:r>
      <w:r>
        <w:rPr>
          <w:rFonts w:ascii="tahoma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«16)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6) </w:t>
      </w:r>
      <w:r>
        <w:rPr>
          <w:rFonts w:ascii="tahoma"/>
          <w:b/>
          <w:color w:val="000000"/>
          <w:sz w:val="20"/>
          <w:rtl w:val="off"/>
          <w:lang w:val="en-US"/>
        </w:rPr>
        <w:t>дополнить статьей 17.1.</w:t>
      </w:r>
      <w:r>
        <w:rPr>
          <w:rFonts w:ascii="tahoma"/>
          <w:color w:val="000000"/>
          <w:sz w:val="20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</w:t>
      </w:r>
      <w:r>
        <w:rPr>
          <w:rFonts w:ascii="tahoma"/>
          <w:b/>
          <w:color w:val="000000"/>
          <w:sz w:val="20"/>
          <w:rtl w:val="off"/>
          <w:lang w:val="en-US"/>
        </w:rPr>
        <w:t>Статья 17.1. Староста сельского населенного пункта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Старостой сельского населенного пункта не может быть назначено лицо: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признанное судом недееспособным или ограниченно дееспособным;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имеющее непогашенную или неснятую судимость.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5. Срок полномочий старосты сельского населенного пункта составляет пять лет.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6. Староста сельского населенного пункта для решения возложенных на него задач: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7) </w:t>
      </w:r>
      <w:r>
        <w:rPr>
          <w:rFonts w:ascii="tahoma"/>
          <w:b/>
          <w:color w:val="000000"/>
          <w:sz w:val="20"/>
          <w:rtl w:val="off"/>
          <w:lang w:val="en-US"/>
        </w:rPr>
        <w:t>пункт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8) </w:t>
      </w:r>
      <w:r>
        <w:rPr>
          <w:rFonts w:ascii="tahoma"/>
          <w:b/>
          <w:color w:val="000000"/>
          <w:sz w:val="20"/>
          <w:rtl w:val="off"/>
          <w:lang w:val="en-US"/>
        </w:rPr>
        <w:t>в пункте 2 части 11 статьи 36</w:t>
      </w:r>
      <w:r>
        <w:rPr>
          <w:rFonts w:ascii="tahoma"/>
          <w:color w:val="000000"/>
          <w:sz w:val="20"/>
          <w:rtl w:val="off"/>
          <w:lang w:val="en-US"/>
        </w:rPr>
        <w:t xml:space="preserve"> слова «садоводческого, огороднического, дачного потребительских кооперативов,»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9) </w:t>
      </w:r>
      <w:r>
        <w:rPr>
          <w:rFonts w:ascii="tahoma"/>
          <w:b/>
          <w:color w:val="000000"/>
          <w:sz w:val="20"/>
          <w:rtl w:val="off"/>
          <w:lang w:val="en-US"/>
        </w:rPr>
        <w:t>часть 1 статьи 47</w:t>
      </w:r>
      <w:r>
        <w:rPr>
          <w:rFonts w:ascii="tahoma"/>
          <w:color w:val="000000"/>
          <w:sz w:val="20"/>
          <w:rtl w:val="off"/>
          <w:lang w:val="en-US"/>
        </w:rPr>
        <w:t xml:space="preserve"> дополнить пунктом 36.11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«36.11) осуществляет мероприятия по защите прав потребителей, предусмотренных Законом Российской Федерации от 7 февраля 1992 года № 2300-1 «О защите прав потребителей»;».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 за исключением положений, указанных в части 3 настоящего решения.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Пункт 2 части 1 настоящего решения вступает в силу с 30 декабря 2018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67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Пункт 3, пункт 8 части 1 настоящего решения вступают в силу с 01 января 2019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  А.С. 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