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публичных слушаний по вопросу «О внесении изменений и дополнений в Устав муниципального образования Жемчужненский поссовет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22.12.2011г. № 88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22.12.2011 г.                                      п.Жемчужный                                        №   88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вопросу «О 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В соответствии со ст.ст.28, 44 Федерального закона от 16.10.2003 года                                       № 131-ФЗ «Об общих принципах организации местного самоуправления в Российской Федерации», руководствуясь статьей 17 Устава муниципального образования Жемчужненский поссовет Ширинского района, Совет депутатов 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0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Во исполнение  настоящего решения провести  19 января 2012 года                     в 15 часов в здании администрации муниципального образования Жемчужненский поссовет публичные слушания по вопросу «О внесении изменений и дополнений в Устав муниципального образования Жемчужненский поссовет Ширинского района Республики Хакасия».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0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Создать комиссию по организации и проведению публичных слушаний по вопросу «О внесении изменений и дополнений в Устав муниципального образования Жемчужненский поссовет Ширинского района Республики Хакасия»  (приложения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Настоящее   решение вступает в силу  со дня его  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к решению 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от  22.11.2011 г. № 88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комиссии по проведению публичных слушаний по внесению изменений                                                              в Устав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 комиссии:           Кириллов А.С., депутат Совета депутатов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от избирательного округа № 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Сопредседатель комиссии:       Райхман О.В., депутат Совета депутатов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от избирательного округа №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Члены комиссии:                       Чустеева Л.П., депутат Совета депутатов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от избирательного округа № 3.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Русинович Т.В., специалист 1 категории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муниципального  образования Жемчужненский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поссовет (по согласованию)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Арапова Н.Н., специалист 1 категории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муниципального образования Жемчужненский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поссовет (по согласованию).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Обращаться в отдел администрации по телефону    9-74-01.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