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Положения «Об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решение от 20.10.2017 № 19</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 xml:space="preserve">РОССИЙСКАЯ ФЕДЕРАЦИЯ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b/>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от 20.10.2017г.                                     п.Жемчужный                                               № 19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Об утверждении Положения «Об оплате труда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выборного должностного лица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осуществляющего свои полномочия на постоянной основе,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муниципального образования 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На основании п.4 ст.86 Бюджетного кодекса Российской Федерации,   Закона Республики Хакасия от 06.07.2007 № 39-ЗРХ «О муниципальной службе в Республике Хакасия» (с последующими изменениями), постановлением Правительства Республики Хакасия от 27.04.2010г. № 210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Республике Хакасия» (с последующими изменения), Закона Республики Хакасия от 12.05.2011г. № 40-ЗРХ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Хакасия» (с последующими изменениями), Постановления Правительства Республики Хакасия от 18.01.2016 года № 11 «О внесении изменений в отдельные  постановления Правительства Республики Хакасия», Федерального Закона   от 06.10.2003г. № 131-ФЗ «Об общих принципах организации местного самоуправления в Российской Федерации» (с последующими изменениями), Устава муниципального образования Жемчужненский сельсовет Ширинского района Республики Хакасия, Совет депутатов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РЕШИЛ: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1. Утвердить Положение «Об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Жемчужненский  сельсовет»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 Признать утратившим силу Решение Совета депутатов Жемчужненского поссовета  от  17.11.2006  № 46  «Об  оплате труда выборного должностного лица местного самоуправления муниципального</w:t>
      </w:r>
      <w:r>
        <w:rPr>
          <w:rFonts w:ascii="tahoma"/>
          <w:b/>
          <w:color w:val="000000"/>
          <w:sz w:val="20"/>
          <w:rtl w:val="off"/>
          <w:lang w:val="en-US"/>
        </w:rPr>
        <w:t xml:space="preserve"> </w:t>
      </w:r>
      <w:r>
        <w:rPr>
          <w:rFonts w:ascii="tahoma"/>
          <w:color w:val="000000"/>
          <w:sz w:val="20"/>
          <w:rtl w:val="off"/>
          <w:lang w:val="en-US"/>
        </w:rPr>
        <w:t>образования Жемчужненский поссовет» (с последующими изменениями).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3.  Настоящее Решение вступает в силу со дня его официального опубликования (обнародования).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4. Приложение 1 к Положению «Об оплате труда выборного должностного лица местного самоуправления, осуществляющего свои полномочия на постоянной основе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муниципального образования Жемчужненский сельсовет»   вступает в силу с 1 января 2018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Глава  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Ширинского района Республики Хакасия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Председатель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Ширинского района Республики Хакасия                                                      А.С.Кириллов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b/>
          <w:color w:val="000000"/>
          <w:sz w:val="20"/>
          <w:rtl w:val="off"/>
          <w:lang w:val="en-US"/>
        </w:rPr>
        <w:t xml:space="preserve"> </w:t>
      </w:r>
      <w:r>
        <w:rPr>
          <w:rFonts w:ascii="tahoma"/>
          <w:b/>
          <w:color w:val="000000"/>
          <w:sz w:val="20"/>
          <w:rtl w:val="off"/>
          <w:lang w:val="en-US"/>
        </w:rPr>
        <w:t xml:space="preserve">                                                                              </w:t>
      </w:r>
      <w:r>
        <w:rPr>
          <w:rFonts w:ascii="tahoma"/>
          <w:color w:val="000000"/>
          <w:sz w:val="20"/>
          <w:rtl w:val="off"/>
          <w:lang w:val="en-US"/>
        </w:rPr>
        <w:t>Приложение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4956" w:right="0" w:firstLine="708"/>
        <w:jc w:val="right"/>
        <w:rPr>
          <w:rFonts w:ascii="tahoma"/>
          <w:color w:val="000000"/>
          <w:sz w:val="20"/>
          <w:lang w:val="en-US"/>
        </w:rPr>
      </w:pPr>
      <w:r>
        <w:rPr>
          <w:rFonts w:ascii="tahoma"/>
          <w:color w:val="000000"/>
          <w:sz w:val="20"/>
          <w:rtl w:val="off"/>
          <w:lang w:val="en-US"/>
        </w:rPr>
        <w:t>к решению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4956" w:right="0" w:firstLine="708"/>
        <w:jc w:val="right"/>
        <w:rPr>
          <w:rFonts w:ascii="tahoma"/>
          <w:color w:val="000000"/>
          <w:sz w:val="20"/>
          <w:lang w:val="en-US"/>
        </w:rPr>
      </w:pPr>
      <w:r>
        <w:rPr>
          <w:rFonts w:ascii="tahoma"/>
          <w:color w:val="000000"/>
          <w:sz w:val="20"/>
          <w:rtl w:val="off"/>
          <w:lang w:val="en-US"/>
        </w:rPr>
        <w:t>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4956" w:right="0" w:firstLine="708"/>
        <w:jc w:val="right"/>
        <w:rPr>
          <w:rFonts w:ascii="tahoma"/>
          <w:color w:val="000000"/>
          <w:sz w:val="20"/>
          <w:lang w:val="en-US"/>
        </w:rPr>
      </w:pPr>
      <w:r>
        <w:rPr>
          <w:rFonts w:ascii="tahoma"/>
          <w:color w:val="000000"/>
          <w:sz w:val="20"/>
          <w:rtl w:val="off"/>
          <w:lang w:val="en-US"/>
        </w:rPr>
        <w:t>от  20.10.2017 № 19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4956" w:right="0" w:firstLine="708"/>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b/>
          <w:color w:val="000000"/>
          <w:sz w:val="20"/>
          <w:rtl w:val="off"/>
          <w:lang w:val="en-US"/>
        </w:rPr>
        <w:t>ПОЛОЖЕНИЕ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«Об оплате труда</w:t>
      </w:r>
      <w:r>
        <w:rPr>
          <w:rFonts w:ascii="tahoma"/>
          <w:b/>
          <w:color w:val="000000"/>
          <w:sz w:val="20"/>
          <w:rtl w:val="off"/>
          <w:lang w:val="en-US"/>
        </w:rPr>
        <w:t xml:space="preserve"> </w:t>
      </w:r>
      <w:r>
        <w:rPr>
          <w:rFonts w:ascii="tahoma"/>
          <w:color w:val="000000"/>
          <w:sz w:val="20"/>
          <w:rtl w:val="off"/>
          <w:lang w:val="en-US"/>
        </w:rPr>
        <w:t>выборного должностного лица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осуществляющего свои полномочия на постоянной основе,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муниципального образования Жемчужненский сельсовет</w:t>
      </w:r>
      <w:r>
        <w:rPr>
          <w:rFonts w:ascii="tahoma"/>
          <w:b/>
          <w:color w:val="000000"/>
          <w:sz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b/>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0"/>
          <w:lang w:val="en-US"/>
        </w:rPr>
      </w:pPr>
      <w:r>
        <w:rPr>
          <w:rFonts w:ascii="tahoma"/>
          <w:color w:val="000000"/>
          <w:sz w:val="20"/>
          <w:rtl w:val="off"/>
          <w:lang w:val="en-US"/>
        </w:rPr>
        <w:t>1.1. Положение определяет размеры и условия оплаты труда, устанавливает правила расчета нормативов формирования расходов на оплату труда  выборного должностного лица местного самоуправления, осуществляющего свои полномочия на постоянной основе (далее - выборное должностное лицо) муниципального образования 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0"/>
          <w:lang w:val="en-US"/>
        </w:rPr>
      </w:pPr>
      <w:r>
        <w:rPr>
          <w:rFonts w:ascii="tahoma"/>
          <w:color w:val="000000"/>
          <w:sz w:val="20"/>
          <w:rtl w:val="off"/>
          <w:lang w:val="en-US"/>
        </w:rPr>
        <w:t>1.2.  Размер норматива устанавливает годовой объем расходов на оплату труда  выборного должностного лица,    с начислениями на фонд оплаты труда.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0"/>
          <w:lang w:val="en-US"/>
        </w:rPr>
      </w:pPr>
      <w:r>
        <w:rPr>
          <w:rFonts w:ascii="tahoma"/>
          <w:color w:val="000000"/>
          <w:sz w:val="20"/>
          <w:rtl w:val="off"/>
          <w:lang w:val="en-US"/>
        </w:rPr>
        <w:t>1.3. Выборным должностным лицом местного самоуправления является должностное лицо, избранное населением непосредственно или представительным органом местного самоуправления из своего состава, наделенное согласно Уставу муниципального образования Жемчужненский сельсовет полномочиями на решение вопросов местного значения.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8"/>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 Денежное содержание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2.1.Денежное содержание выборного должностного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2.1.1. Предельные значения размеров оплаты труда выборного должностного лица состоят из предельных значений размеров составных частей денежного содержания.</w:t>
      </w:r>
      <w:r>
        <w:rPr>
          <w:rFonts w:ascii="tahoma"/>
          <w:color w:val="000000"/>
          <w:sz w:val="20"/>
          <w:rtl w:val="off"/>
          <w:lang w:val="en-US"/>
        </w:rPr>
        <w:br w:type="textWrapping"/>
      </w:r>
      <w:r>
        <w:rPr>
          <w:rFonts w:ascii="tahoma"/>
          <w:color w:val="000000"/>
          <w:sz w:val="20"/>
          <w:rtl w:val="off"/>
          <w:lang w:val="en-US"/>
        </w:rPr>
        <w:t xml:space="preserve">    В состав денежного содержания включаются: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а) должностной оклад;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б) ежемесячная надбавка за особые условия труда;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в) ежемесячная надбавка за выслугу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г) ежемесячная процентная надбавка к должностному окладу за работу со сведениями, составляющими государственную тайну;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д) премии по результатам работы;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е) материальная помощь.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2.1.2. На денежное содержание (кроме материальной помощи)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r>
        <w:rPr>
          <w:rFonts w:ascii="tahoma"/>
          <w:color w:val="000000"/>
          <w:sz w:val="20"/>
          <w:rtl w:val="off"/>
          <w:lang w:val="en-US"/>
        </w:rPr>
        <w:br w:type="textWrapping"/>
      </w:r>
      <w:r>
        <w:rPr>
          <w:rFonts w:ascii="tahoma"/>
          <w:color w:val="000000"/>
          <w:sz w:val="20"/>
          <w:rtl w:val="off"/>
          <w:lang w:val="en-US"/>
        </w:rPr>
        <w:t xml:space="preserve">    2.1.3. Должностной оклад  выборного должностного лица  установлены в приложении 1 настоящего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2.1.4. Предельные значения размеров ежемесячной надбавки за особые условия труда составляют: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а) для групп от первой до пятой включительно - до 100 процентов от должностного оклада в месяц;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б) для групп от шестой до двенадцатой включительно - до 50 процентов от должностного оклада в месяц.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both"/>
        <w:rPr>
          <w:rFonts w:ascii="tahoma"/>
          <w:color w:val="000000"/>
          <w:sz w:val="20"/>
          <w:lang w:val="en-US"/>
        </w:rPr>
      </w:pPr>
      <w:r>
        <w:rPr>
          <w:rFonts w:ascii="tahoma"/>
          <w:color w:val="000000"/>
          <w:sz w:val="20"/>
          <w:rtl w:val="off"/>
          <w:lang w:val="en-US"/>
        </w:rPr>
        <w:t xml:space="preserve"> Надбавка к должностному окладу выборного должностного лица за особые условия труда производится за исполнение должностных обязанностей в условиях, отличающихся от нормальных (срочность и повышенное качество работ, работа в режиме ненормированного рабочего дня, выездной характер работы и т.д.), выполнение сложных и важных работ по осуществлению деятельности органа местного самоуправления, напряженность и высокую производительность труда, проявление инициативы и творческого подхода к делу, знание и применение действующего законодательства, за привлечение к выполнению служебных обязанностей в выходные и праздничные дни.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both"/>
        <w:rPr>
          <w:rFonts w:ascii="tahoma"/>
          <w:color w:val="000000"/>
          <w:sz w:val="20"/>
          <w:lang w:val="en-US"/>
        </w:rPr>
      </w:pPr>
      <w:r>
        <w:rPr>
          <w:rFonts w:ascii="tahoma"/>
          <w:color w:val="000000"/>
          <w:sz w:val="20"/>
          <w:rtl w:val="off"/>
          <w:lang w:val="en-US"/>
        </w:rPr>
        <w:t>Надбавка к должностному окладу выборного должностного лица за особые условия труда начисляется без дополнительного распоряжения.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2.1.5.  Предельные значения размеров ежемесячной надбавки за выслугу лет к должностному окладу   выборного должностного лица местного самоуправления, осуществляющего свои полномочия на постоянной основе, составляют при стаже муниципальной службы: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а) от 1 до 5 лет - 10 процентов;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б) от 5 до 10 лет - 20 процентов;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в) от 10 до 15 лет - 30 процентов;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г) свыше 15 лет - 40 процентов.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2.1.6. Предельные значения размеров ежемесячной процентной надбавки за работу со сведениями, составляющими государственную тайну, к должностному окладу выборного должностного лица местного самоуправления, осуществляющего свои полномочия на постоянной основе, устанавливаются в пределах фонда оплаты труда в размерах и порядке, которые установлены федеральными законами и иными нормативными правовыми актами.</w:t>
      </w:r>
      <w:r>
        <w:rPr>
          <w:rFonts w:ascii="tahoma"/>
          <w:color w:val="000000"/>
          <w:sz w:val="20"/>
          <w:rtl w:val="off"/>
          <w:lang w:val="en-US"/>
        </w:rPr>
        <w:br w:type="textWrapping"/>
      </w:r>
      <w:r>
        <w:rPr>
          <w:rFonts w:ascii="tahoma"/>
          <w:color w:val="000000"/>
          <w:sz w:val="20"/>
          <w:rtl w:val="off"/>
          <w:lang w:val="en-US"/>
        </w:rPr>
        <w:t xml:space="preserve">       2.1.7. Предельное значение размера премирования   выборного должностного лица местного самоуправления, осуществляющего свои полномочия на постоянной основе, принимается равным четырем должностным окладам в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both"/>
        <w:rPr>
          <w:rFonts w:ascii="tahoma"/>
          <w:color w:val="000000"/>
          <w:sz w:val="20"/>
          <w:lang w:val="en-US"/>
        </w:rPr>
      </w:pPr>
      <w:r>
        <w:rPr>
          <w:rFonts w:ascii="tahoma"/>
          <w:color w:val="000000"/>
          <w:sz w:val="20"/>
          <w:rtl w:val="off"/>
          <w:lang w:val="en-US"/>
        </w:rPr>
        <w:t>Премии выплачиваются в целях усиления материальной заинтересованности выборного должностного лица, за профессиональное мастерство, высокое качество работы, своевременное и добросовестное исполнение своих должностных обязанностей, предусмотренных Уставом муниципального образования, повышение качества выполняемой работы и уровня ответственности за порученный участок работы, применение в работе современных форм и методов организации труда.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both"/>
        <w:rPr>
          <w:rFonts w:ascii="tahoma"/>
          <w:color w:val="000000"/>
          <w:sz w:val="20"/>
          <w:lang w:val="en-US"/>
        </w:rPr>
      </w:pPr>
      <w:r>
        <w:rPr>
          <w:rFonts w:ascii="tahoma"/>
          <w:color w:val="000000"/>
          <w:sz w:val="20"/>
          <w:rtl w:val="off"/>
          <w:lang w:val="en-US"/>
        </w:rPr>
        <w:t>Начисление премии по результатам работы производится ежемесячно в размере 33,3% должностного оклада.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both"/>
        <w:rPr>
          <w:rFonts w:ascii="tahoma"/>
          <w:color w:val="000000"/>
          <w:sz w:val="20"/>
          <w:lang w:val="en-US"/>
        </w:rPr>
      </w:pPr>
      <w:r>
        <w:rPr>
          <w:rFonts w:ascii="tahoma"/>
          <w:color w:val="000000"/>
          <w:sz w:val="20"/>
          <w:rtl w:val="off"/>
          <w:lang w:val="en-US"/>
        </w:rPr>
        <w:t>2.1.8. Предельное значение материальной помощи   выборному должностному лицу местного самоуправления, осуществляющим свои полномочия на постоянной основе, принимается равным двум должностным окладам в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2.2. Расчет нормативов формирования расходов на оплату труда выборных должностных лиц  в муниципальном образовании.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2.2.1. Нормативы на оплату труда рассчитываются: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а) в соответствии с Реестром должностей муниципальной службы в Республике Хакасия, установленным </w:t>
      </w:r>
      <w:r>
        <w:fldChar w:fldCharType="begin"/>
      </w:r>
      <w:r>
        <w:instrText xml:space="preserve"> HYPERLINK "http://docs.cntd.ru/document/819007669" </w:instrText>
      </w:r>
      <w:r>
        <w:fldChar w:fldCharType="separate"/>
      </w:r>
      <w:r>
        <w:rPr>
          <w:rFonts w:ascii="tahoma"/>
          <w:color w:val="000000"/>
          <w:sz w:val="20"/>
          <w:u w:val="single"/>
          <w:rtl w:val="off"/>
          <w:lang w:val="en-US"/>
        </w:rPr>
        <w:t>Законом Республики Хакасия от 06.07.2007 N 39-ЗРХ "О муниципальной службе в Республике Хакасия"</w:t>
      </w:r>
      <w:r>
        <w:fldChar w:fldCharType="end"/>
      </w:r>
      <w:r>
        <w:rPr>
          <w:rFonts w:ascii="tahoma"/>
          <w:color w:val="000000"/>
          <w:sz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б) исходя из предельных значений размеров оплаты труда выборного должностного лица   установленных в соответствии с разделом 2.1 настоящего Положения.</w:t>
      </w:r>
      <w:r>
        <w:rPr>
          <w:rFonts w:ascii="tahoma"/>
          <w:color w:val="000000"/>
          <w:sz w:val="20"/>
          <w:rtl w:val="off"/>
          <w:lang w:val="en-US"/>
        </w:rPr>
        <w:br w:type="textWrapping"/>
      </w: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0"/>
          <w:lang w:val="en-US"/>
        </w:rPr>
      </w:pPr>
      <w:r>
        <w:rPr>
          <w:rFonts w:ascii="tahoma"/>
          <w:color w:val="000000"/>
          <w:sz w:val="20"/>
          <w:rtl w:val="off"/>
          <w:lang w:val="en-US"/>
        </w:rPr>
        <w:t>Приложение 1</w:t>
      </w:r>
      <w:r>
        <w:rPr>
          <w:rFonts w:ascii="tahoma"/>
          <w:color w:val="000000"/>
          <w:sz w:val="20"/>
          <w:rtl w:val="off"/>
          <w:lang w:val="en-US"/>
        </w:rPr>
        <w:br w:type="textWrapping"/>
      </w:r>
      <w:r>
        <w:rPr>
          <w:rFonts w:ascii="tahoma"/>
          <w:color w:val="000000"/>
          <w:sz w:val="20"/>
          <w:rtl w:val="off"/>
          <w:lang w:val="en-US"/>
        </w:rPr>
        <w:t>к Положению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0"/>
          <w:lang w:val="en-US"/>
        </w:rPr>
      </w:pPr>
      <w:r>
        <w:rPr>
          <w:rFonts w:ascii="tahoma"/>
          <w:color w:val="000000"/>
          <w:sz w:val="20"/>
          <w:rtl w:val="off"/>
          <w:lang w:val="en-US"/>
        </w:rPr>
        <w:t>«Об оплате труда выборного должностного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0"/>
          <w:lang w:val="en-US"/>
        </w:rPr>
      </w:pPr>
      <w:r>
        <w:rPr>
          <w:rFonts w:ascii="tahoma"/>
          <w:color w:val="000000"/>
          <w:sz w:val="20"/>
          <w:rtl w:val="off"/>
          <w:lang w:val="en-US"/>
        </w:rPr>
        <w:t>местного самоуправления, осуществляющего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0"/>
          <w:lang w:val="en-US"/>
        </w:rPr>
      </w:pPr>
      <w:r>
        <w:rPr>
          <w:rFonts w:ascii="tahoma"/>
          <w:color w:val="000000"/>
          <w:sz w:val="20"/>
          <w:rtl w:val="off"/>
          <w:lang w:val="en-US"/>
        </w:rPr>
        <w:t xml:space="preserve">свои полномочия на постоянной основе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0"/>
          <w:lang w:val="en-US"/>
        </w:rPr>
      </w:pPr>
      <w:r>
        <w:rPr>
          <w:rFonts w:ascii="tahoma"/>
          <w:color w:val="000000"/>
          <w:sz w:val="20"/>
          <w:rtl w:val="off"/>
          <w:lang w:val="en-US"/>
        </w:rPr>
        <w:t xml:space="preserve">  муниципального образования 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 xml:space="preserve">Должностной оклад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выборного должностного лица местного самоуправления, осуществляющего свои полномочия на постоянной основе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60"/>
        <w:gridCol w:w="6660"/>
        <w:gridCol w:w="4530"/>
      </w:tblGrid>
      <w:tr>
        <w:trPr>
          <w:wBefore w:w="0" w:type="dxa"/>
          <w:jc w:val="left"/>
        </w:trPr>
        <w:tc>
          <w:tcPr>
            <w:cnfStyle w:val="100010000000"/>
            <w:tcW w:w="3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N</w:t>
            </w:r>
          </w:p>
        </w:tc>
        <w:tc>
          <w:tcPr>
            <w:cnfStyle w:val="100001000000"/>
            <w:tcW w:w="66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Должность                 </w:t>
            </w:r>
          </w:p>
        </w:tc>
        <w:tc>
          <w:tcPr>
            <w:cnfStyle w:val="100010000000"/>
            <w:tcW w:w="453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Размер должностного оклада</w:t>
            </w:r>
            <w:r>
              <w:rPr>
                <w:rFonts w:ascii="Segoe UI"/>
                <w:color w:val="000000"/>
                <w:sz w:val="18"/>
                <w:rtl w:val="off"/>
                <w:lang w:val="en-US"/>
              </w:rPr>
              <w:br w:type="textWrapping"/>
            </w:r>
            <w:r>
              <w:rPr>
                <w:rFonts w:ascii="Segoe UI"/>
                <w:color w:val="000000"/>
                <w:sz w:val="18"/>
                <w:rtl w:val="off"/>
                <w:lang w:val="en-US"/>
              </w:rPr>
              <w:t xml:space="preserve">          (руб.)         </w:t>
            </w:r>
          </w:p>
        </w:tc>
      </w:tr>
      <w:tr>
        <w:trPr>
          <w:wBefore w:w="0" w:type="dxa"/>
          <w:jc w:val="left"/>
        </w:trPr>
        <w:tc>
          <w:tcPr>
            <w:cnfStyle w:val="000010000000"/>
            <w:tcW w:w="3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1</w:t>
            </w:r>
          </w:p>
        </w:tc>
        <w:tc>
          <w:tcPr>
            <w:cnfStyle w:val="000001000000"/>
            <w:tcW w:w="66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Глава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w:t>
            </w:r>
          </w:p>
        </w:tc>
        <w:tc>
          <w:tcPr>
            <w:cnfStyle w:val="000010000000"/>
            <w:tcW w:w="453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10889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0"/>
          <w:lang w:val="en-US"/>
        </w:rPr>
      </w:pPr>
      <w:r>
        <w:rPr>
          <w:rFonts w:ascii="tahoma"/>
          <w:color w:val="000000"/>
          <w:sz w:val="20"/>
          <w:lang w:val="en-US"/>
        </w:rPr>
        <w:br w:type="textWrapping"/>
      </w:r>
      <w:r>
        <w:rPr>
          <w:rFonts w:ascii="tahoma"/>
          <w:color w:val="000000"/>
          <w:sz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right"/>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times new roman&amp;quot;">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