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от 24.12.2018 года № 27 «Об утверждении прогнозного плана приватизации муниципального имущества МО Жемчужненский сельсовет на 2019 год»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06.06.2019 № 15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от 06.06.2019г.                                  п. Жемчужный                                                      № 15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53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О внесении изменений в  решение от 24.12.2018 года №  27  «Об утверждении прогнозного плана приватизации муниципального имущества МО Жемчужненский сельсовет на 2019 год»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53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Рассмотрев представленные Главой муниципального образования Жемчужненский сельсовет дополнения в Прогнозный план приватизации муниципального имущества на 2019 год, руководствуясь Федеральным законом от 21.12.2001 № 178-ФЗ «О приватизации государственного и муниципального имущества», ст. 17 Устава муниципального образования Жемчужненский сельсовет Ширинского района Республики Хакасия и положением «О порядке приватизации муниципального имущества», утвержденным Решением Совета депутатов Жемчужненский поссовет  от 11.06.2009 г. № 22, в целях соблюдения требований федерального законодательства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1215" w:right="0" w:hanging="765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</w:t>
      </w:r>
      <w:r>
        <w:rPr>
          <w:rFonts w:ascii="times new roman&amp;quot;"/>
          <w:color w:val="000000"/>
          <w:sz w:val="26"/>
          <w:rtl w:val="off"/>
          <w:lang w:val="en-US"/>
        </w:rPr>
        <w:t>Внести изменения в  Прогнозный план приватизации муниципального имущества Жемчужненского сельсовета  на 2019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&amp;quot;"/>
          <w:color w:val="000000"/>
          <w:sz w:val="26"/>
          <w:rtl w:val="off"/>
          <w:lang w:val="en-US"/>
        </w:rPr>
        <w:t>Дополнить Раздел II. МУНИЦИПАЛЬНОЕ ИМУЩЕСТВО, ПРИВАТИЗАЦИЯ КОТОРОГО ПЛАНИРУЕТСЯ В 2019 ГОДУ пунктом 6 следующего содержания</w:t>
      </w:r>
      <w:r>
        <w:rPr>
          <w:rFonts w:ascii="tahoma"/>
          <w:color w:val="000000"/>
          <w:sz w:val="20"/>
          <w:rtl w:val="off"/>
          <w:lang w:val="en-US"/>
        </w:rPr>
        <w:t>: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муниципального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имущества</w:t>
            </w:r>
          </w:p>
        </w:tc>
        <w:tc>
          <w:tcPr>
            <w:cnfStyle w:val="1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66.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Газгольдерная установка,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адрес: Республика Хакасия, Ширинский район, п. Жемчужный, микрорайон, во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дворе дома №1,2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20"/>
                <w:lang w:val="en-US"/>
              </w:rPr>
            </w:pPr>
            <w:r>
              <w:rPr>
                <w:rFonts w:ascii="Segoe UI"/>
                <w:color w:val="000000"/>
                <w:sz w:val="20"/>
                <w:rtl w:val="off"/>
                <w:lang w:val="en-US"/>
              </w:rPr>
              <w:t>2019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2.  Контроль по исполнению настоящего решения возложить на главного бухгалтера администрации Жемчужненского сельсовета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 Настоящее   решение вступает в силу  со дня официального 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Глава Жемчужненского сельсовета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