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27.04.2012г. № 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27.04.2012г.                                       п. Жемчужный                            №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Рассмотрев информацию об исполнении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за  2011 год,  представленную  Администрацией  Жемчужненского поссовета,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28 Устава муниципального образования Жемчужненский поссовет, Совет депутатов Жемчужненского поссовета решил: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поссовет за   2011 год  по доходам в сумме 17 739 730,63 рублей, по расходам  17 053 809,28 рублей с превышением доходов над расходами (профицит бюджета)  в сумме 685921,35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2. Утвердить отчет об исполнение местного бюджета за 2011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  по доходам бюджета по кодам классификации видов, подвидов, классификации  операций сектора государственного управления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 по расходам бюджета по ведомственной структуре расходов местного бюджета согласно приложению 2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4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об исполнении муниципальных целевых программ согласно приложению 5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-  отчет о численности муниципальных служащих с указанием фактических затрат на их денежное содержание согласно приложению 6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Жемчужненского поссовета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