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установлении платных услуг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26.05.2011г. № 62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26.05.2011 г.                                      п. Жемчужный                           №  62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установлении платных услуг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Рассмотрев сметы расходов на содержание муниципальных рынков,   мест отдыха для отдыхающих, мест для размещения летних кафе на 2011 год, руководствуясь Правилами работы мелкорозничной торговой сети и летних кафе на территории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1. Установить на территории муниципального образования Жемчужненский поссовет следующие расценки: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предоставление торговых мест на территории муниципального образования Жемчужненский поссовет в пределах рынков, торговых площадок, ярмарок-                            июнь, август - 150 рублей в сутки;  июль – 200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 предоставление торговых мест на территории торговых площадок для торговли хлебобулочными изделиями, пирожками, тортами        -  100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предоставление мест для размещения лотков на территории площади МО–                                      июнь, август - 250 рублей   в сутки; июль – 350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предоставление мест для размещения ларьков на территории МО – 400 рублей                       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предоставление мест для размещения летних кафе и шашлычных – 500 рублей                                с 1 квадратного метра занимаемой площади в месяц;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-предоставление места для размещения автостоянки, СТО   - 600 рублей в сутки;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- оплата за въезд на территорию места летнего отдыха с 1 автомобиля 120 рублей.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2. Распространить действие данного решения на территории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3. Главе муниципального образования Жемчужненский поссовет (С.Е. Ашуркину) организовать торговые площадки на территории муниципального образования Жемчужненский поссовет на летний период 2011 года.  Создать условия для размещения и работы торговых точек (летних кафе, шашлычных, закусочных, ларьков)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4. Рекомендовать собственникам стационарных кафе и магазинов на территории муниципального образования Жемчужненский поссовет заключить договора на вывоз мусора с организациями, осуществляющими данный вид услуги.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5. Настоящее решение вступает в силу со дня его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С.Е.Ашуркин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