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Проект решения «О внесении изменений и дополнений в Устав муниципального образования Жемчужненский поссовет Ширинского 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27.04.2012г. № 13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ЖЕМЧУЖНЕНСКОГО ПОССОВЕТА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27.04.2012 г.                                             пгт. Жемчужный                                      № 13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Проект решения «О </w:t>
      </w:r>
      <w:r>
        <w:rPr>
          <w:rFonts w:ascii="times new roman&amp;quot;"/>
          <w:color w:val="000000"/>
          <w:sz w:val="26"/>
          <w:rtl w:val="off"/>
          <w:lang w:val="en-US"/>
        </w:rPr>
        <w:t>внесении изменений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и дополнений в Устав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&amp;quot;"/>
          <w:color w:val="000000"/>
          <w:sz w:val="26"/>
          <w:rtl w:val="off"/>
          <w:lang w:val="en-US"/>
        </w:rPr>
        <w:t>Ширинского района Республики Хакасия»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</w:t>
      </w:r>
      <w:r>
        <w:rPr>
          <w:rFonts w:ascii="times new roman"/>
          <w:color w:val="000000"/>
          <w:sz w:val="26"/>
          <w:rtl w:val="off"/>
          <w:lang w:val="en-US"/>
        </w:rPr>
        <w:t>Руководствуясь п. 1 ч. 10 ст. 35 Федерального закона от 06.10.2003 №131-ФЗ «Об общих принципах организации местного самоуправления в Российской Федерации» (с последующими изменениями), п. 1 ч. 1 ст. 28 Устава муниципального образования Жемчужненский поссовет Ширинского района Республики Хакасия, Совет депутатов Жемчужненского поссовета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1. </w:t>
      </w:r>
      <w:r>
        <w:rPr>
          <w:rFonts w:ascii="times new roman"/>
          <w:color w:val="000000"/>
          <w:sz w:val="26"/>
          <w:rtl w:val="off"/>
          <w:lang w:val="en-US"/>
        </w:rPr>
        <w:t xml:space="preserve">Внести в Устав муниципального образования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Жемчужненский поссовет </w:t>
      </w:r>
      <w:r>
        <w:rPr>
          <w:rFonts w:ascii="times new roman"/>
          <w:color w:val="000000"/>
          <w:sz w:val="26"/>
          <w:rtl w:val="off"/>
          <w:lang w:val="en-US"/>
        </w:rPr>
        <w:t xml:space="preserve">Ширинского района Республики Хакасия, принятый решением Совета депутатов </w:t>
      </w:r>
      <w:r>
        <w:rPr>
          <w:rFonts w:ascii="times new roman&amp;quot;"/>
          <w:color w:val="000000"/>
          <w:sz w:val="26"/>
          <w:rtl w:val="off"/>
          <w:lang w:val="en-US"/>
        </w:rPr>
        <w:t xml:space="preserve">Жемчужненского поссовета </w:t>
      </w:r>
      <w:r>
        <w:rPr>
          <w:rFonts w:ascii="times new roman"/>
          <w:color w:val="000000"/>
          <w:sz w:val="26"/>
          <w:rtl w:val="off"/>
          <w:lang w:val="en-US"/>
        </w:rPr>
        <w:t>от 19.12.2005 № 11 (</w:t>
      </w:r>
      <w:r>
        <w:rPr>
          <w:rFonts w:ascii="times new roman"/>
          <w:color w:val="000000"/>
          <w:sz w:val="26"/>
          <w:rtl w:val="off"/>
          <w:lang w:val="en-US"/>
        </w:rPr>
        <w:t>с последующими изменениями от 16.10.2007 № 86, 12.12.2007 № 98, 23.05.2008 № 15, 11.06.2009 № 18, 21.06.2010 № 23, 22.12.2010 № 41, 21.04.2011 № 55, 29.02.2012 № 3</w:t>
      </w:r>
      <w:r>
        <w:rPr>
          <w:rFonts w:ascii="times new roman"/>
          <w:color w:val="000000"/>
          <w:sz w:val="26"/>
          <w:rtl w:val="off"/>
          <w:lang w:val="en-US"/>
        </w:rPr>
        <w:t>) (далее – Устав), следующие изменения и дополнения: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1) в статье 8 </w:t>
      </w:r>
      <w:r>
        <w:rPr>
          <w:rFonts w:ascii="times new roman"/>
          <w:color w:val="000000"/>
          <w:sz w:val="26"/>
          <w:rtl w:val="off"/>
          <w:lang w:val="en-US"/>
        </w:rPr>
        <w:t>Устава: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а) пункт 19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b/>
          <w:color w:val="000000"/>
          <w:sz w:val="26"/>
          <w:rtl w:val="off"/>
          <w:lang w:val="en-US"/>
        </w:rPr>
        <w:t>части 1</w:t>
      </w:r>
      <w:r>
        <w:rPr>
          <w:rFonts w:ascii="times new roman"/>
          <w:color w:val="000000"/>
          <w:sz w:val="26"/>
          <w:rtl w:val="off"/>
          <w:lang w:val="en-US"/>
        </w:rPr>
        <w:t xml:space="preserve">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«19) </w:t>
      </w:r>
      <w:r>
        <w:rPr>
          <w:rFonts w:ascii="times new roman"/>
          <w:color w:val="000000"/>
          <w:sz w:val="26"/>
          <w:rtl w:val="off"/>
          <w:lang w:val="en-US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>
        <w:rPr>
          <w:rFonts w:ascii="times new roman"/>
          <w:color w:val="000000"/>
          <w:sz w:val="26"/>
          <w:rtl w:val="off"/>
          <w:lang w:val="en-US"/>
        </w:rPr>
        <w:t>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          б) </w:t>
      </w:r>
      <w:r>
        <w:fldChar w:fldCharType="begin"/>
      </w:r>
      <w:r>
        <w:instrText xml:space="preserve"> HYPERLINK "garantf1://86367.1401/" </w:instrText>
      </w:r>
      <w:r>
        <w:fldChar w:fldCharType="separate"/>
      </w:r>
      <w:r>
        <w:rPr>
          <w:rFonts w:ascii="verdana"/>
          <w:b/>
          <w:color w:val="6d6d6d"/>
          <w:sz w:val="26"/>
          <w:u w:val="single"/>
          <w:rtl w:val="off"/>
          <w:lang w:val="en-US"/>
        </w:rPr>
        <w:t xml:space="preserve">часть 1 </w:t>
      </w:r>
      <w:r>
        <w:fldChar w:fldCharType="end"/>
      </w: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 xml:space="preserve">дополнить пунктами </w:t>
      </w:r>
      <w:r>
        <w:rPr>
          <w:rFonts w:ascii="times new roman"/>
          <w:b/>
          <w:color w:val="000000"/>
          <w:sz w:val="26"/>
          <w:rtl w:val="off"/>
          <w:lang w:val="en-US"/>
        </w:rPr>
        <w:t>33.1</w:t>
      </w:r>
      <w:r>
        <w:rPr>
          <w:rFonts w:ascii="times new roman"/>
          <w:color w:val="000000"/>
          <w:sz w:val="26"/>
          <w:rtl w:val="off"/>
          <w:lang w:val="en-US"/>
        </w:rPr>
        <w:t xml:space="preserve"> и </w:t>
      </w:r>
      <w:r>
        <w:rPr>
          <w:rFonts w:ascii="times new roman"/>
          <w:b/>
          <w:color w:val="000000"/>
          <w:sz w:val="26"/>
          <w:rtl w:val="off"/>
          <w:lang w:val="en-US"/>
        </w:rPr>
        <w:t>33.2</w:t>
      </w:r>
      <w:r>
        <w:rPr>
          <w:rFonts w:ascii="times new roman"/>
          <w:color w:val="000000"/>
          <w:sz w:val="26"/>
          <w:rtl w:val="off"/>
          <w:lang w:val="en-US"/>
        </w:rPr>
        <w:t xml:space="preserve">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«33.1)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33.2)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</w:t>
      </w:r>
      <w:r>
        <w:rPr>
          <w:rFonts w:ascii="times new roman"/>
          <w:b/>
          <w:color w:val="000000"/>
          <w:sz w:val="26"/>
          <w:rtl w:val="off"/>
          <w:lang w:val="en-US"/>
        </w:rPr>
        <w:t>2) часть 6 статьи 9</w:t>
      </w:r>
      <w:r>
        <w:rPr>
          <w:rFonts w:ascii="times new roman"/>
          <w:color w:val="000000"/>
          <w:sz w:val="26"/>
          <w:rtl w:val="off"/>
          <w:lang w:val="en-US"/>
        </w:rPr>
        <w:t xml:space="preserve"> Устава дополнить абзацем следующего содержания: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«Зарегистрированные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подлежат опубликованию (обнародованию)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3) часть 4 статьи 74</w:t>
      </w:r>
      <w:r>
        <w:rPr>
          <w:rFonts w:ascii="times new roman"/>
          <w:color w:val="000000"/>
          <w:sz w:val="26"/>
          <w:rtl w:val="off"/>
          <w:lang w:val="en-US"/>
        </w:rPr>
        <w:t xml:space="preserve"> Устава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«4.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Настоящее решение вступает в силу после его официального опубликования (обнародования).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 Жемчужненского поссовета                                                                С.Е. Ашуркин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  <w:font w:name="arial">
    <w:charset w:val="00"/>
  </w:font>
  <w:font w:name="arial cyr">
    <w:charset w:val="00"/>
  </w:font>
  <w:font w:name="verdan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